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297D" w14:textId="739E54C8" w:rsidR="00850294" w:rsidRPr="00EA1B63" w:rsidRDefault="00850294" w:rsidP="00850294">
      <w:pPr>
        <w:rPr>
          <w:rFonts w:asciiTheme="majorHAnsi" w:hAnsiTheme="majorHAnsi" w:cstheme="majorHAnsi"/>
        </w:rPr>
      </w:pPr>
    </w:p>
    <w:p w14:paraId="1C277B97" w14:textId="3C184B71" w:rsidR="00850294" w:rsidRPr="00EA1B63" w:rsidRDefault="00941E27" w:rsidP="00941E27">
      <w:pPr>
        <w:pStyle w:val="Heading1"/>
        <w:rPr>
          <w:rFonts w:asciiTheme="majorHAnsi" w:hAnsiTheme="majorHAnsi" w:cstheme="majorHAnsi"/>
        </w:rPr>
      </w:pPr>
      <w:r w:rsidRPr="00EA1B63">
        <w:rPr>
          <w:rFonts w:asciiTheme="majorHAnsi" w:hAnsiTheme="majorHAnsi" w:cstheme="majorHAnsi"/>
        </w:rPr>
        <w:lastRenderedPageBreak/>
        <w:t xml:space="preserve">1AC- The </w:t>
      </w:r>
      <w:r w:rsidR="00BD2178">
        <w:rPr>
          <w:rFonts w:asciiTheme="majorHAnsi" w:hAnsiTheme="majorHAnsi" w:cstheme="majorHAnsi"/>
        </w:rPr>
        <w:t>Mysterious Gateway</w:t>
      </w:r>
    </w:p>
    <w:p w14:paraId="56CF39E1" w14:textId="26657C68" w:rsidR="00EA1B63" w:rsidRPr="00EA1B63" w:rsidRDefault="00EA1B63" w:rsidP="00EA1B63">
      <w:pPr>
        <w:pStyle w:val="Heading4"/>
      </w:pPr>
      <w:r w:rsidRPr="00EA1B63">
        <w:t>Way-making (</w:t>
      </w:r>
      <w:proofErr w:type="spellStart"/>
      <w:r w:rsidRPr="00EA1B63">
        <w:t>dao</w:t>
      </w:r>
      <w:proofErr w:type="spellEnd"/>
      <w:r w:rsidRPr="00EA1B63">
        <w:t xml:space="preserve">) that can be put into words is not </w:t>
      </w:r>
      <w:proofErr w:type="gramStart"/>
      <w:r w:rsidRPr="00EA1B63">
        <w:t>really way</w:t>
      </w:r>
      <w:proofErr w:type="gramEnd"/>
      <w:r w:rsidRPr="00EA1B63">
        <w:t xml:space="preserve">- making, </w:t>
      </w:r>
    </w:p>
    <w:p w14:paraId="66EC4B5F" w14:textId="4DC93C98" w:rsidR="00EA1B63" w:rsidRPr="00EA1B63" w:rsidRDefault="00EA1B63" w:rsidP="00EA1B63">
      <w:pPr>
        <w:pStyle w:val="Heading4"/>
      </w:pPr>
      <w:r w:rsidRPr="00EA1B63">
        <w:t>And naming (</w:t>
      </w:r>
      <w:proofErr w:type="spellStart"/>
      <w:r w:rsidRPr="00EA1B63">
        <w:t>ming</w:t>
      </w:r>
      <w:proofErr w:type="spellEnd"/>
      <w:r w:rsidRPr="00EA1B63">
        <w:t xml:space="preserve">) that can assign </w:t>
      </w:r>
      <w:r>
        <w:t>fi</w:t>
      </w:r>
      <w:r w:rsidRPr="00EA1B63">
        <w:t>xed reference to things is not really naming.</w:t>
      </w:r>
    </w:p>
    <w:p w14:paraId="1214652A" w14:textId="77777777" w:rsidR="00EA1B63" w:rsidRPr="00EA1B63" w:rsidRDefault="00EA1B63" w:rsidP="00EA1B63">
      <w:pPr>
        <w:pStyle w:val="Heading4"/>
      </w:pPr>
      <w:r w:rsidRPr="00EA1B63">
        <w:t>The nameless (</w:t>
      </w:r>
      <w:proofErr w:type="spellStart"/>
      <w:r w:rsidRPr="00EA1B63">
        <w:t>wuming</w:t>
      </w:r>
      <w:proofErr w:type="spellEnd"/>
      <w:r w:rsidRPr="00EA1B63">
        <w:t>) is the fetal beginnings of everything that is happening (</w:t>
      </w:r>
      <w:proofErr w:type="spellStart"/>
      <w:r w:rsidRPr="00EA1B63">
        <w:t>wanwu</w:t>
      </w:r>
      <w:proofErr w:type="spellEnd"/>
      <w:r w:rsidRPr="00EA1B63">
        <w:t xml:space="preserve">), </w:t>
      </w:r>
    </w:p>
    <w:p w14:paraId="3379B415" w14:textId="026E1A54" w:rsidR="00EA1B63" w:rsidRPr="00EA1B63" w:rsidRDefault="00EA1B63" w:rsidP="00EA1B63">
      <w:pPr>
        <w:pStyle w:val="Heading4"/>
      </w:pPr>
      <w:r w:rsidRPr="00EA1B63">
        <w:t>While that which is named is their mother.</w:t>
      </w:r>
      <w:r w:rsidRPr="00EA1B63">
        <w:br/>
        <w:t xml:space="preserve">Thus, to be </w:t>
      </w:r>
      <w:proofErr w:type="gramStart"/>
      <w:r w:rsidRPr="00EA1B63">
        <w:t>really objectless</w:t>
      </w:r>
      <w:proofErr w:type="gramEnd"/>
      <w:r w:rsidRPr="00EA1B63">
        <w:t xml:space="preserve"> in one’s desires (</w:t>
      </w:r>
      <w:proofErr w:type="spellStart"/>
      <w:r w:rsidRPr="00EA1B63">
        <w:t>wuyu</w:t>
      </w:r>
      <w:proofErr w:type="spellEnd"/>
      <w:r w:rsidRPr="00EA1B63">
        <w:t xml:space="preserve">) is how one </w:t>
      </w:r>
    </w:p>
    <w:p w14:paraId="3CC454FA" w14:textId="77777777" w:rsidR="00EA1B63" w:rsidRDefault="00EA1B63" w:rsidP="00EA1B63">
      <w:pPr>
        <w:pStyle w:val="Heading4"/>
      </w:pPr>
      <w:r w:rsidRPr="00EA1B63">
        <w:t>observes the mysteries of all things,</w:t>
      </w:r>
    </w:p>
    <w:p w14:paraId="5EFE4977" w14:textId="56202D55" w:rsidR="00EA1B63" w:rsidRPr="00EA1B63" w:rsidRDefault="00EA1B63" w:rsidP="00EA1B63">
      <w:pPr>
        <w:pStyle w:val="Heading4"/>
      </w:pPr>
      <w:r w:rsidRPr="00EA1B63">
        <w:t xml:space="preserve">While really having desires is how one observes </w:t>
      </w:r>
      <w:proofErr w:type="gramStart"/>
      <w:r w:rsidRPr="00EA1B63">
        <w:t>their</w:t>
      </w:r>
      <w:proofErr w:type="gramEnd"/>
      <w:r w:rsidRPr="00EA1B63">
        <w:t xml:space="preserve"> </w:t>
      </w:r>
    </w:p>
    <w:p w14:paraId="4899A784" w14:textId="49BC4141" w:rsidR="00EA1B63" w:rsidRDefault="00EA1B63" w:rsidP="00EA1B63">
      <w:pPr>
        <w:pStyle w:val="Heading4"/>
      </w:pPr>
      <w:r w:rsidRPr="00EA1B63">
        <w:t>boundaries.</w:t>
      </w:r>
    </w:p>
    <w:p w14:paraId="5C555124" w14:textId="7C96E048" w:rsidR="00EA1B63" w:rsidRPr="00EA1B63" w:rsidRDefault="00EA1B63" w:rsidP="00EA1B63">
      <w:pPr>
        <w:pStyle w:val="Heading4"/>
      </w:pPr>
      <w:r>
        <w:t>T</w:t>
      </w:r>
      <w:r w:rsidRPr="00EA1B63">
        <w:t xml:space="preserve">hese two—the nameless and what is named—emerge from the </w:t>
      </w:r>
    </w:p>
    <w:p w14:paraId="7704DE9F" w14:textId="27397B97" w:rsidR="00EA1B63" w:rsidRDefault="00EA1B63" w:rsidP="00EA1B63">
      <w:pPr>
        <w:pStyle w:val="Heading4"/>
      </w:pPr>
      <w:r w:rsidRPr="00EA1B63">
        <w:t xml:space="preserve">same source yet </w:t>
      </w:r>
      <w:proofErr w:type="gramStart"/>
      <w:r w:rsidRPr="00EA1B63">
        <w:t>are</w:t>
      </w:r>
      <w:proofErr w:type="gramEnd"/>
      <w:r w:rsidRPr="00EA1B63">
        <w:t xml:space="preserve"> referred to di</w:t>
      </w:r>
      <w:r w:rsidRPr="00EA1B63">
        <w:pgNum/>
      </w:r>
      <w:proofErr w:type="spellStart"/>
      <w:r>
        <w:t>ff</w:t>
      </w:r>
      <w:r w:rsidRPr="00EA1B63">
        <w:t>erently</w:t>
      </w:r>
      <w:proofErr w:type="spellEnd"/>
      <w:r w:rsidRPr="00EA1B63">
        <w:t>.</w:t>
      </w:r>
      <w:r w:rsidRPr="00EA1B63">
        <w:br/>
        <w:t>Together they are called obscure</w:t>
      </w:r>
      <w:r w:rsidRPr="00EA1B63">
        <w:br/>
        <w:t>The obscurest of the obscure,</w:t>
      </w:r>
      <w:r w:rsidRPr="00EA1B63">
        <w:br/>
        <w:t xml:space="preserve">They are the swinging gateway of the manifold mysteries. </w:t>
      </w:r>
    </w:p>
    <w:p w14:paraId="4D0D833D" w14:textId="6C26D184" w:rsidR="00EA1B63" w:rsidRDefault="00EA1B63" w:rsidP="00EA1B63">
      <w:pPr>
        <w:pStyle w:val="Heading4"/>
      </w:pPr>
      <w:r>
        <w:t>…</w:t>
      </w:r>
    </w:p>
    <w:p w14:paraId="1BEA4D82" w14:textId="1A8A7BDB" w:rsidR="00EA1B63" w:rsidRPr="00EA1B63" w:rsidRDefault="00942B7E" w:rsidP="00942B7E">
      <w:pPr>
        <w:pStyle w:val="ListParagraph"/>
        <w:numPr>
          <w:ilvl w:val="0"/>
          <w:numId w:val="14"/>
        </w:numPr>
      </w:pPr>
      <w:r>
        <w:t>Laozi,</w:t>
      </w:r>
      <w:r w:rsidR="00EA1B63" w:rsidRPr="00EA1B63">
        <w:t xml:space="preserve"> Roger </w:t>
      </w:r>
      <w:r w:rsidRPr="00EA1B63">
        <w:t>Ames,</w:t>
      </w:r>
      <w:r w:rsidR="00EA1B63" w:rsidRPr="00EA1B63">
        <w:t xml:space="preserve"> and David Hall (</w:t>
      </w:r>
      <w:r>
        <w:t xml:space="preserve">Laozi was the first old master of Daoist philosophy, </w:t>
      </w:r>
      <w:r w:rsidR="00EA1B63" w:rsidRPr="00EA1B63">
        <w:t>Ames is a Canadian philosopher at the University of Peking. Hall was a professor of philosophy at the University of Texas), 2010, “</w:t>
      </w:r>
      <w:proofErr w:type="spellStart"/>
      <w:r w:rsidR="00EA1B63" w:rsidRPr="00EA1B63">
        <w:t>Daodejing</w:t>
      </w:r>
      <w:proofErr w:type="spellEnd"/>
      <w:r w:rsidR="00EA1B63" w:rsidRPr="00EA1B63">
        <w:t xml:space="preserve">: Making this Life Significant,” Ballantine Books, I have a pdf, r0w@n </w:t>
      </w:r>
    </w:p>
    <w:p w14:paraId="3EBA2C75" w14:textId="4056A737" w:rsidR="00EB0D04" w:rsidRPr="00EA1B63" w:rsidRDefault="00EB0D04" w:rsidP="00EB0D04">
      <w:pPr>
        <w:pStyle w:val="Heading4"/>
        <w:rPr>
          <w:rFonts w:asciiTheme="majorHAnsi" w:hAnsiTheme="majorHAnsi" w:cstheme="majorHAnsi"/>
        </w:rPr>
      </w:pPr>
      <w:r w:rsidRPr="00EA1B63">
        <w:rPr>
          <w:rFonts w:asciiTheme="majorHAnsi" w:hAnsiTheme="majorHAnsi" w:cstheme="majorHAnsi"/>
        </w:rPr>
        <w:t>Welcome to a new moment- the universe is a continuous stream of consciousness with no static reality</w:t>
      </w:r>
    </w:p>
    <w:p w14:paraId="007AFDC0" w14:textId="77777777" w:rsidR="005D60B2" w:rsidRPr="00EA1B63" w:rsidRDefault="005D60B2" w:rsidP="005D60B2">
      <w:pPr>
        <w:rPr>
          <w:rFonts w:asciiTheme="majorHAnsi" w:hAnsiTheme="majorHAnsi" w:cstheme="majorHAnsi"/>
        </w:rPr>
      </w:pPr>
      <w:r w:rsidRPr="00EA1B63">
        <w:rPr>
          <w:rStyle w:val="Style13ptBold"/>
          <w:rFonts w:asciiTheme="majorHAnsi" w:hAnsiTheme="majorHAnsi" w:cstheme="majorHAnsi"/>
        </w:rPr>
        <w:t xml:space="preserve">Ames and Hall 10. </w:t>
      </w:r>
      <w:r w:rsidRPr="00EA1B63">
        <w:rPr>
          <w:rFonts w:asciiTheme="majorHAnsi" w:hAnsiTheme="majorHAnsi" w:cstheme="majorHAnsi"/>
        </w:rPr>
        <w:t xml:space="preserve">Roger Ames and David Hall (Ames is a Canadian philosopher at the University of Peking. Hall was a professor of philosophy at the University of Texas), 2010, “Daodejing: Making this Life Significant,” Ballantine Books, I have a pdf, r0w@n </w:t>
      </w:r>
    </w:p>
    <w:p w14:paraId="7CC5B9BE" w14:textId="77777777" w:rsidR="00EB0D04" w:rsidRPr="00EA1B63" w:rsidRDefault="00EB0D04" w:rsidP="00EB0D04">
      <w:pPr>
        <w:rPr>
          <w:rFonts w:asciiTheme="majorHAnsi" w:hAnsiTheme="majorHAnsi" w:cstheme="majorHAnsi"/>
          <w:sz w:val="16"/>
        </w:rPr>
      </w:pPr>
      <w:r w:rsidRPr="00EA1B63">
        <w:rPr>
          <w:rFonts w:asciiTheme="majorHAnsi" w:hAnsiTheme="majorHAnsi" w:cstheme="majorHAnsi"/>
          <w:sz w:val="16"/>
        </w:rPr>
        <w:t>We begin our argument for translating Daodejing as “Making This Life Signi</w:t>
      </w:r>
      <w:r w:rsidRPr="00EA1B63">
        <w:rPr>
          <w:rFonts w:asciiTheme="majorHAnsi" w:hAnsiTheme="majorHAnsi" w:cstheme="majorHAnsi"/>
          <w:sz w:val="16"/>
        </w:rPr>
        <w:pgNum/>
      </w:r>
      <w:r w:rsidRPr="00EA1B63">
        <w:rPr>
          <w:rFonts w:asciiTheme="majorHAnsi" w:hAnsiTheme="majorHAnsi" w:cstheme="majorHAnsi"/>
          <w:sz w:val="16"/>
        </w:rPr>
        <w:t xml:space="preserve">cant” from Daoist cosmology. Taking a closer look at the interpretation of both the title and the content of the </w:t>
      </w:r>
      <w:proofErr w:type="spellStart"/>
      <w:r w:rsidRPr="00EA1B63">
        <w:rPr>
          <w:rFonts w:asciiTheme="majorHAnsi" w:hAnsiTheme="majorHAnsi" w:cstheme="majorHAnsi"/>
          <w:sz w:val="16"/>
        </w:rPr>
        <w:t>Daodejing</w:t>
      </w:r>
      <w:proofErr w:type="spellEnd"/>
      <w:r w:rsidRPr="00EA1B63">
        <w:rPr>
          <w:rFonts w:asciiTheme="majorHAnsi" w:hAnsiTheme="majorHAnsi" w:cstheme="majorHAnsi"/>
          <w:sz w:val="16"/>
        </w:rPr>
        <w:t xml:space="preserve"> as “The Classic of This Focus (de </w:t>
      </w:r>
      <w:r w:rsidRPr="00EA1B63">
        <w:rPr>
          <w:rFonts w:asciiTheme="majorHAnsi" w:hAnsiTheme="majorHAnsi" w:cstheme="majorHAnsi"/>
          <w:sz w:val="16"/>
        </w:rPr>
        <w:fldChar w:fldCharType="begin"/>
      </w:r>
      <w:r w:rsidRPr="00EA1B63">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A1B63">
        <w:rPr>
          <w:rFonts w:asciiTheme="majorHAnsi" w:hAnsiTheme="majorHAnsi" w:cstheme="majorHAnsi"/>
          <w:sz w:val="16"/>
        </w:rPr>
        <w:fldChar w:fldCharType="separate"/>
      </w:r>
      <w:r w:rsidRPr="00EA1B63">
        <w:rPr>
          <w:rFonts w:asciiTheme="majorHAnsi" w:hAnsiTheme="majorHAnsi" w:cstheme="majorHAnsi"/>
          <w:noProof/>
          <w:sz w:val="16"/>
        </w:rPr>
        <w:drawing>
          <wp:inline distT="0" distB="0" distL="0" distR="0" wp14:anchorId="4873AF46" wp14:editId="1917F702">
            <wp:extent cx="155575" cy="155575"/>
            <wp:effectExtent l="0" t="0" r="0" b="0"/>
            <wp:docPr id="4" name="Picture 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6"/>
        </w:rPr>
        <w:fldChar w:fldCharType="end"/>
      </w:r>
      <w:r w:rsidRPr="00EA1B63">
        <w:rPr>
          <w:rFonts w:asciiTheme="majorHAnsi" w:hAnsiTheme="majorHAnsi" w:cstheme="majorHAnsi"/>
          <w:sz w:val="16"/>
        </w:rPr>
        <w:t>) and Its Field (</w:t>
      </w:r>
      <w:proofErr w:type="spellStart"/>
      <w:r w:rsidRPr="00EA1B63">
        <w:rPr>
          <w:rFonts w:asciiTheme="majorHAnsi" w:hAnsiTheme="majorHAnsi" w:cstheme="majorHAnsi"/>
          <w:sz w:val="16"/>
        </w:rPr>
        <w:t>dao</w:t>
      </w:r>
      <w:proofErr w:type="spellEnd"/>
      <w:r w:rsidRPr="00EA1B63">
        <w:rPr>
          <w:rFonts w:asciiTheme="majorHAnsi" w:hAnsiTheme="majorHAnsi" w:cstheme="majorHAnsi"/>
          <w:sz w:val="16"/>
        </w:rPr>
        <w:t xml:space="preserve"> </w:t>
      </w:r>
      <w:r w:rsidRPr="00EA1B63">
        <w:rPr>
          <w:rFonts w:asciiTheme="majorHAnsi" w:hAnsiTheme="majorHAnsi" w:cstheme="majorHAnsi"/>
          <w:sz w:val="16"/>
        </w:rPr>
        <w:fldChar w:fldCharType="begin"/>
      </w:r>
      <w:r w:rsidRPr="00EA1B63">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A1B63">
        <w:rPr>
          <w:rFonts w:asciiTheme="majorHAnsi" w:hAnsiTheme="majorHAnsi" w:cstheme="majorHAnsi"/>
          <w:sz w:val="16"/>
        </w:rPr>
        <w:fldChar w:fldCharType="separate"/>
      </w:r>
      <w:r w:rsidRPr="00EA1B63">
        <w:rPr>
          <w:rFonts w:asciiTheme="majorHAnsi" w:hAnsiTheme="majorHAnsi" w:cstheme="majorHAnsi"/>
          <w:noProof/>
          <w:sz w:val="16"/>
        </w:rPr>
        <w:drawing>
          <wp:inline distT="0" distB="0" distL="0" distR="0" wp14:anchorId="476BD4C1" wp14:editId="0ECDBF77">
            <wp:extent cx="165100" cy="155575"/>
            <wp:effectExtent l="0" t="0" r="0" b="0"/>
            <wp:docPr id="3" name="Picture 3"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6"/>
        </w:rPr>
        <w:fldChar w:fldCharType="end"/>
      </w:r>
      <w:r w:rsidRPr="00EA1B63">
        <w:rPr>
          <w:rFonts w:asciiTheme="majorHAnsi" w:hAnsiTheme="majorHAnsi" w:cstheme="majorHAnsi"/>
          <w:sz w:val="16"/>
        </w:rPr>
        <w:t xml:space="preserve">),” we might first ask what does the expression “this focus” mean? The Daoist correlative cosmology begins from the assumption that </w:t>
      </w:r>
      <w:r w:rsidRPr="00EA1B63">
        <w:rPr>
          <w:rStyle w:val="Emphasis"/>
          <w:rFonts w:asciiTheme="majorHAnsi" w:hAnsiTheme="majorHAnsi" w:cstheme="majorHAnsi"/>
          <w:highlight w:val="cyan"/>
        </w:rPr>
        <w:t>the endless stream of</w:t>
      </w:r>
      <w:r w:rsidRPr="00EA1B63">
        <w:rPr>
          <w:rFonts w:asciiTheme="majorHAnsi" w:hAnsiTheme="majorHAnsi" w:cstheme="majorHAnsi"/>
          <w:sz w:val="16"/>
        </w:rPr>
        <w:t xml:space="preserve"> always </w:t>
      </w:r>
      <w:r w:rsidRPr="00EA1B63">
        <w:rPr>
          <w:rStyle w:val="Emphasis"/>
          <w:rFonts w:asciiTheme="majorHAnsi" w:hAnsiTheme="majorHAnsi" w:cstheme="majorHAnsi"/>
          <w:highlight w:val="cyan"/>
        </w:rPr>
        <w:t>novel yet</w:t>
      </w:r>
      <w:r w:rsidRPr="00EA1B63">
        <w:rPr>
          <w:rFonts w:asciiTheme="majorHAnsi" w:hAnsiTheme="majorHAnsi" w:cstheme="majorHAnsi"/>
          <w:sz w:val="16"/>
        </w:rPr>
        <w:t xml:space="preserve"> still </w:t>
      </w:r>
      <w:r w:rsidRPr="00EA1B63">
        <w:rPr>
          <w:rStyle w:val="Emphasis"/>
          <w:rFonts w:asciiTheme="majorHAnsi" w:hAnsiTheme="majorHAnsi" w:cstheme="majorHAnsi"/>
          <w:highlight w:val="cyan"/>
        </w:rPr>
        <w:t>continuous situations</w:t>
      </w:r>
      <w:r w:rsidRPr="00EA1B63">
        <w:rPr>
          <w:rFonts w:asciiTheme="majorHAnsi" w:hAnsiTheme="majorHAnsi" w:cstheme="majorHAnsi"/>
          <w:sz w:val="16"/>
        </w:rPr>
        <w:t xml:space="preserve"> we encounter </w:t>
      </w:r>
      <w:r w:rsidRPr="00EA1B63">
        <w:rPr>
          <w:rStyle w:val="Emphasis"/>
          <w:rFonts w:asciiTheme="majorHAnsi" w:hAnsiTheme="majorHAnsi" w:cstheme="majorHAnsi"/>
          <w:highlight w:val="cyan"/>
        </w:rPr>
        <w:t>are real</w:t>
      </w:r>
      <w:r w:rsidRPr="00EA1B63">
        <w:rPr>
          <w:rFonts w:asciiTheme="majorHAnsi" w:hAnsiTheme="majorHAnsi" w:cstheme="majorHAnsi"/>
          <w:sz w:val="16"/>
          <w:highlight w:val="cyan"/>
        </w:rPr>
        <w:t>,</w:t>
      </w:r>
      <w:r w:rsidRPr="00EA1B63">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A1B63">
        <w:rPr>
          <w:rStyle w:val="Emphasis"/>
          <w:rFonts w:asciiTheme="majorHAnsi" w:hAnsiTheme="majorHAnsi" w:cstheme="majorHAnsi"/>
          <w:highlight w:val="cyan"/>
        </w:rPr>
        <w:t>only becomings are</w:t>
      </w:r>
      <w:r w:rsidRPr="00EA1B63">
        <w:rPr>
          <w:rFonts w:asciiTheme="majorHAnsi" w:hAnsiTheme="majorHAnsi" w:cstheme="majorHAnsi"/>
          <w:sz w:val="16"/>
        </w:rPr>
        <w:t xml:space="preserve">.” That is, </w:t>
      </w:r>
      <w:r w:rsidRPr="00EA1B63">
        <w:rPr>
          <w:rStyle w:val="Emphasis"/>
          <w:rFonts w:asciiTheme="majorHAnsi" w:hAnsiTheme="majorHAnsi" w:cstheme="majorHAnsi"/>
          <w:highlight w:val="cyan"/>
        </w:rPr>
        <w:t>the Daoist does not posit the existence of some permanent reality behind appearances, some unchanging substratum</w:t>
      </w:r>
      <w:r w:rsidRPr="00EA1B63">
        <w:rPr>
          <w:rFonts w:asciiTheme="majorHAnsi" w:hAnsiTheme="majorHAnsi" w:cstheme="majorHAnsi"/>
          <w:sz w:val="16"/>
        </w:rPr>
        <w:t xml:space="preserve">, some essential denying aspect behind the accidents of change. Rather, </w:t>
      </w:r>
      <w:r w:rsidRPr="00EA1B63">
        <w:rPr>
          <w:rStyle w:val="Emphasis"/>
          <w:rFonts w:asciiTheme="majorHAnsi" w:hAnsiTheme="majorHAnsi" w:cstheme="majorHAnsi"/>
          <w:highlight w:val="cyan"/>
        </w:rPr>
        <w:t>there is just the ceaseless</w:t>
      </w:r>
      <w:r w:rsidRPr="00EA1B63">
        <w:rPr>
          <w:rFonts w:asciiTheme="majorHAnsi" w:hAnsiTheme="majorHAnsi" w:cstheme="majorHAnsi"/>
          <w:sz w:val="16"/>
        </w:rPr>
        <w:t xml:space="preserve"> and usually cadenced </w:t>
      </w:r>
      <w:r w:rsidRPr="00EA1B63">
        <w:rPr>
          <w:rStyle w:val="Emphasis"/>
          <w:rFonts w:asciiTheme="majorHAnsi" w:hAnsiTheme="majorHAnsi" w:cstheme="majorHAnsi"/>
          <w:highlight w:val="cyan"/>
        </w:rPr>
        <w:t>flow of experience</w:t>
      </w:r>
      <w:r w:rsidRPr="00EA1B63">
        <w:rPr>
          <w:rFonts w:asciiTheme="majorHAnsi" w:hAnsiTheme="majorHAnsi" w:cstheme="majorHAnsi"/>
          <w:sz w:val="16"/>
        </w:rPr>
        <w:t xml:space="preserve">. In fact, the absence of the “One behind the many” metaphysics makes our uncritical use of the philosophic term “cosmology” to characterize Daoism, at least in the familiar classical Greek sense of this word, highly problematic. In early Greek </w:t>
      </w:r>
      <w:r w:rsidRPr="00EA1B63">
        <w:rPr>
          <w:rFonts w:asciiTheme="majorHAnsi" w:hAnsiTheme="majorHAnsi" w:cstheme="majorHAnsi"/>
          <w:sz w:val="16"/>
        </w:rPr>
        <w:lastRenderedPageBreak/>
        <w:t>philosophy, the term “kosmos” connotes a clustered range of meanings, including arche (originative, material, and e</w:t>
      </w:r>
      <w:r w:rsidRPr="00EA1B63">
        <w:rPr>
          <w:rFonts w:asciiTheme="majorHAnsi" w:hAnsiTheme="majorHAnsi" w:cstheme="majorHAnsi"/>
          <w:sz w:val="16"/>
        </w:rPr>
        <w:pgNum/>
      </w:r>
      <w:r w:rsidRPr="00EA1B63">
        <w:rPr>
          <w:rFonts w:asciiTheme="majorHAnsi" w:hAnsiTheme="majorHAnsi" w:cstheme="majorHAnsi"/>
          <w:sz w:val="16"/>
        </w:rPr>
        <w:t>fficient cause/ultimate undemonstrable principle), logos (underlying organizational principle), theoria (contemplation), nomos (law), theios (divinity), nous (intelligibility). In combination, this cluster of terms conjures forth some notion of a single-ordered Divine3 universe governed by natural and moral laws that are ultimately intelligible to the human mind. This “kosmos” terminology is culturally specfii</w:t>
      </w:r>
      <w:r w:rsidRPr="00EA1B63">
        <w:rPr>
          <w:rFonts w:asciiTheme="majorHAnsi" w:hAnsiTheme="majorHAnsi" w:cstheme="majorHAnsi"/>
          <w:sz w:val="16"/>
        </w:rPr>
        <w:pgNum/>
      </w:r>
      <w:r w:rsidRPr="00EA1B63">
        <w:rPr>
          <w:rFonts w:asciiTheme="majorHAnsi" w:hAnsiTheme="majorHAnsi" w:cstheme="majorHAnsi"/>
          <w:sz w:val="16"/>
        </w:rPr>
        <w:t>c, and if applied uncritically to discuss the classical Daoist worldview, introduces a cultural reductionism that elides and thus conceals truly signifi</w:t>
      </w:r>
      <w:r w:rsidRPr="00EA1B63">
        <w:rPr>
          <w:rFonts w:asciiTheme="majorHAnsi" w:hAnsiTheme="majorHAnsi" w:cstheme="majorHAnsi"/>
          <w:sz w:val="16"/>
        </w:rPr>
        <w:pgNum/>
      </w:r>
      <w:r w:rsidRPr="00EA1B63">
        <w:rPr>
          <w:rFonts w:asciiTheme="majorHAnsi" w:hAnsiTheme="majorHAnsi" w:cstheme="majorHAnsi"/>
          <w:sz w:val="16"/>
        </w:rPr>
        <w:t>cant di</w:t>
      </w:r>
      <w:r w:rsidRPr="00EA1B63">
        <w:rPr>
          <w:rFonts w:asciiTheme="majorHAnsi" w:hAnsiTheme="majorHAnsi" w:cstheme="majorHAnsi"/>
          <w:sz w:val="16"/>
        </w:rPr>
        <w:pgNum/>
      </w:r>
      <w:r w:rsidRPr="00EA1B63">
        <w:rPr>
          <w:rFonts w:asciiTheme="majorHAnsi" w:hAnsiTheme="majorHAnsi" w:cstheme="majorHAnsi"/>
          <w:sz w:val="16"/>
        </w:rPr>
        <w:t>fferences. The Daoist understanding of “cosmos” as the “ten thousand things” means that, in effect, the Daoists have no concept of cosmos at all insofar as that notion entails a coherent, single-ordered world which is in any sense enclosed or denied. The Daoists are, therefore, primarily, “acosmotic” thinkers.</w:t>
      </w:r>
    </w:p>
    <w:p w14:paraId="5BFE4609" w14:textId="52BAEE46" w:rsidR="00EB0D04" w:rsidRPr="00EA1B63" w:rsidRDefault="00EB0D04" w:rsidP="00EB0D04">
      <w:pPr>
        <w:pStyle w:val="Heading4"/>
        <w:rPr>
          <w:rFonts w:asciiTheme="majorHAnsi" w:hAnsiTheme="majorHAnsi" w:cstheme="majorHAnsi"/>
          <w:sz w:val="16"/>
        </w:rPr>
      </w:pPr>
      <w:r w:rsidRPr="00EA1B63">
        <w:rPr>
          <w:rFonts w:asciiTheme="majorHAnsi" w:hAnsiTheme="majorHAnsi" w:cstheme="majorHAnsi"/>
        </w:rPr>
        <w:t>And it’s only gonna get more obvious that we can’t rely on anything</w:t>
      </w:r>
    </w:p>
    <w:p w14:paraId="3BC4E253" w14:textId="7AF396AF" w:rsidR="00EB0D04" w:rsidRPr="00EA1B63" w:rsidRDefault="005D60B2" w:rsidP="00EB0D04">
      <w:pPr>
        <w:spacing w:after="0" w:line="240" w:lineRule="auto"/>
      </w:pPr>
      <w:r w:rsidRPr="00EA1B63">
        <w:rPr>
          <w:rStyle w:val="Style13ptBold"/>
        </w:rPr>
        <w:t>Wenning 11.</w:t>
      </w:r>
      <w:r w:rsidRPr="00EA1B63">
        <w:t xml:space="preserve"> Mario Wenning (Teaches and studies Social and Political Philosophy, Intercultural Philosophy, Aesthetics at the University of Macau, has a PHD from the New School), 2011, Comparative Philosophy vol. 2, </w:t>
      </w:r>
      <w:hyperlink r:id="rId11" w:history="1">
        <w:r w:rsidRPr="00EA1B63">
          <w:rPr>
            <w:rStyle w:val="Hyperlink"/>
          </w:rPr>
          <w:t>https://scholarworks.sjsu.edu/cgi/viewcontent.cgi?referer=https://www.google.com/&amp;httpsredir=1&amp;article=1017&amp;context=comparativephilosophy</w:t>
        </w:r>
      </w:hyperlink>
      <w:r w:rsidRPr="00EA1B63">
        <w:t xml:space="preserve">, </w:t>
      </w:r>
      <w:r w:rsidR="00EB0D04" w:rsidRPr="00EA1B63">
        <w:t>Accessed on July 15, 2021. r0w@n</w:t>
      </w:r>
    </w:p>
    <w:p w14:paraId="5F9EAC4A" w14:textId="7FEB01A7" w:rsidR="00B73614" w:rsidRPr="00EA1B63" w:rsidRDefault="00EB0D04" w:rsidP="00EB0D04">
      <w:pPr>
        <w:rPr>
          <w:rFonts w:asciiTheme="majorHAnsi" w:hAnsiTheme="majorHAnsi" w:cstheme="majorHAnsi"/>
          <w:sz w:val="12"/>
        </w:rPr>
      </w:pPr>
      <w:r w:rsidRPr="00EA1B63">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(Verdinglichung)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Honneth, (2005). 14 Jürgen Habermas (1984). 15 Axel Honneth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(Entzauberung). In the process of increased rationalization, traditional sources of meaning that were sedimented in inherited religious traditions, social institutions and customs have lost their power in orienting lives. Finally</w:t>
      </w:r>
      <w:r w:rsidRPr="00EA1B63">
        <w:rPr>
          <w:rFonts w:asciiTheme="majorHAnsi" w:eastAsia="Times New Roman" w:hAnsiTheme="majorHAnsi" w:cstheme="majorHAnsi"/>
          <w:color w:val="000000"/>
          <w:sz w:val="12"/>
          <w:szCs w:val="14"/>
        </w:rPr>
        <w:t>,</w:t>
      </w:r>
      <w:r w:rsidRPr="00EA1B63">
        <w:rPr>
          <w:rFonts w:asciiTheme="majorHAnsi" w:eastAsia="Times New Roman" w:hAnsiTheme="majorHAnsi" w:cstheme="majorHAnsi"/>
          <w:b/>
          <w:bCs/>
          <w:color w:val="000000"/>
          <w:sz w:val="24"/>
          <w:u w:val="single"/>
          <w:shd w:val="clear" w:color="auto" w:fill="90F2F4"/>
        </w:rPr>
        <w:t xml:space="preserve"> </w:t>
      </w:r>
      <w:r w:rsidRPr="00EA1B63">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A1B63">
        <w:rPr>
          <w:rFonts w:asciiTheme="majorHAnsi" w:eastAsia="Times New Roman" w:hAnsiTheme="majorHAnsi" w:cstheme="majorHAnsi"/>
          <w:color w:val="000000"/>
          <w:sz w:val="12"/>
          <w:szCs w:val="14"/>
        </w:rPr>
        <w:t xml:space="preserve"> (Beschleunigung) in which, as Marx puts it, ―everything that is solid melts into the air‖. </w:t>
      </w:r>
      <w:r w:rsidRPr="00EA1B63">
        <w:rPr>
          <w:rFonts w:asciiTheme="majorHAnsi" w:hAnsiTheme="majorHAnsi" w:cstheme="majorHAnsi"/>
          <w:sz w:val="12"/>
        </w:rPr>
        <w:t xml:space="preserve">We witness a progressively increasing speed not only of technological innovation, but of social change </w:t>
      </w:r>
      <w:r w:rsidRPr="00EA1B63">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A1B63">
        <w:rPr>
          <w:rFonts w:asciiTheme="majorHAnsi" w:eastAsia="Times New Roman" w:hAnsiTheme="majorHAnsi" w:cstheme="majorHAnsi"/>
          <w:color w:val="000000"/>
          <w:sz w:val="12"/>
          <w:szCs w:val="14"/>
          <w:highlight w:val="cyan"/>
        </w:rPr>
        <w:t>,</w:t>
      </w:r>
      <w:r w:rsidRPr="00EA1B63">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A1B63">
        <w:rPr>
          <w:rFonts w:asciiTheme="majorHAnsi" w:eastAsia="Times New Roman" w:hAnsiTheme="majorHAnsi" w:cstheme="majorHAnsi"/>
          <w:color w:val="000000"/>
          <w:sz w:val="12"/>
          <w:szCs w:val="14"/>
        </w:rPr>
        <w:t xml:space="preserve"> in which </w:t>
      </w:r>
      <w:r w:rsidRPr="00EA1B63">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A1B63">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A1B63">
        <w:rPr>
          <w:rFonts w:asciiTheme="majorHAnsi" w:hAnsiTheme="majorHAnsi" w:cstheme="majorHAnsi"/>
          <w:sz w:val="12"/>
        </w:rPr>
        <w:t xml:space="preserve">While the psychological impact of </w:t>
      </w:r>
      <w:r w:rsidRPr="00EA1B63">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A1B63">
        <w:rPr>
          <w:rFonts w:asciiTheme="majorHAnsi" w:hAnsiTheme="majorHAnsi" w:cstheme="majorHAnsi"/>
          <w:sz w:val="12"/>
        </w:rPr>
        <w:t xml:space="preserve">of forced inclusion or exclusion, </w:t>
      </w:r>
      <w:r w:rsidRPr="00EA1B63">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A1B63">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A1B63">
        <w:rPr>
          <w:rFonts w:asciiTheme="majorHAnsi" w:hAnsiTheme="majorHAnsi" w:cstheme="majorHAnsi"/>
          <w:u w:val="single"/>
        </w:rPr>
        <w:t xml:space="preserve"> </w:t>
      </w:r>
      <w:r w:rsidRPr="00EA1B63">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Virillio fittingly describes this blind acceleration process of chasing structurally elusive future goals in increasingly higher speeds of innovation adequately as a ―rushing standstill‖. From within the ―iron cage‖ of modernity true innovation, which would </w:t>
      </w:r>
      <w:r w:rsidRPr="00EA1B63">
        <w:rPr>
          <w:rFonts w:asciiTheme="majorHAnsi" w:hAnsiTheme="majorHAnsi" w:cstheme="majorHAnsi"/>
          <w:sz w:val="12"/>
        </w:rPr>
        <w:lastRenderedPageBreak/>
        <w:t>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Lübbe refers to as a ‗Gegenwartsschrumpfung‘,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is thus further sedimented</w:t>
      </w:r>
      <w:r w:rsidRPr="00EA1B63">
        <w:rPr>
          <w:rStyle w:val="Emphasis"/>
          <w:rFonts w:asciiTheme="majorHAnsi" w:hAnsiTheme="majorHAnsi" w:cstheme="majorHAnsi"/>
        </w:rPr>
        <w:t xml:space="preserve">. </w:t>
      </w:r>
      <w:r w:rsidRPr="00EA1B63">
        <w:rPr>
          <w:rStyle w:val="Emphasis"/>
          <w:rFonts w:asciiTheme="majorHAnsi" w:hAnsiTheme="majorHAnsi" w:cstheme="majorHAnsi"/>
          <w:highlight w:val="cyan"/>
        </w:rPr>
        <w:t>As soon as instrumental actors</w:t>
      </w:r>
      <w:r w:rsidRPr="00EA1B63">
        <w:rPr>
          <w:rFonts w:asciiTheme="majorHAnsi" w:hAnsiTheme="majorHAnsi" w:cstheme="majorHAnsi"/>
          <w:sz w:val="12"/>
          <w:highlight w:val="cyan"/>
        </w:rPr>
        <w:t xml:space="preserve"> </w:t>
      </w:r>
      <w:r w:rsidRPr="00EA1B63">
        <w:rPr>
          <w:rStyle w:val="Emphasis"/>
          <w:rFonts w:asciiTheme="majorHAnsi" w:hAnsiTheme="majorHAnsi" w:cstheme="majorHAnsi"/>
          <w:highlight w:val="cyan"/>
        </w:rPr>
        <w:t>propose</w:t>
      </w:r>
      <w:r w:rsidRPr="00EA1B63">
        <w:rPr>
          <w:rFonts w:asciiTheme="majorHAnsi" w:hAnsiTheme="majorHAnsi" w:cstheme="majorHAnsi"/>
          <w:sz w:val="12"/>
        </w:rPr>
        <w:t xml:space="preserve"> or just point to </w:t>
      </w:r>
      <w:r w:rsidRPr="00EA1B63">
        <w:rPr>
          <w:rStyle w:val="Emphasis"/>
          <w:rFonts w:asciiTheme="majorHAnsi" w:hAnsiTheme="majorHAnsi" w:cstheme="majorHAnsi"/>
          <w:highlight w:val="cyan"/>
        </w:rPr>
        <w:t>emancipatory</w:t>
      </w:r>
      <w:r w:rsidRPr="00EA1B63">
        <w:rPr>
          <w:rFonts w:asciiTheme="majorHAnsi" w:hAnsiTheme="majorHAnsi" w:cstheme="majorHAnsi"/>
          <w:sz w:val="12"/>
        </w:rPr>
        <w:t xml:space="preserve"> forms of </w:t>
      </w:r>
      <w:r w:rsidRPr="00EA1B63">
        <w:rPr>
          <w:rStyle w:val="Emphasis"/>
          <w:rFonts w:asciiTheme="majorHAnsi" w:hAnsiTheme="majorHAnsi" w:cstheme="majorHAnsi"/>
          <w:highlight w:val="cyan"/>
        </w:rPr>
        <w:t>action, they replicate</w:t>
      </w:r>
      <w:r w:rsidRPr="00EA1B63">
        <w:rPr>
          <w:rFonts w:asciiTheme="majorHAnsi" w:hAnsiTheme="majorHAnsi" w:cstheme="majorHAnsi"/>
          <w:sz w:val="12"/>
        </w:rPr>
        <w:t xml:space="preserve"> and reenact </w:t>
      </w:r>
      <w:r w:rsidRPr="00EA1B63">
        <w:rPr>
          <w:rStyle w:val="Emphasis"/>
          <w:rFonts w:asciiTheme="majorHAnsi" w:hAnsiTheme="majorHAnsi" w:cstheme="majorHAnsi"/>
          <w:highlight w:val="cyan"/>
        </w:rPr>
        <w:t>the same temporal logic</w:t>
      </w:r>
      <w:r w:rsidRPr="00EA1B63">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prefuture,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proto-Daoists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A1B63">
        <w:rPr>
          <w:rStyle w:val="Emphasis"/>
          <w:rFonts w:asciiTheme="majorHAnsi" w:hAnsiTheme="majorHAnsi" w:cstheme="majorHAnsi"/>
          <w:highlight w:val="cyan"/>
        </w:rPr>
        <w:t>Daoism</w:t>
      </w:r>
      <w:r w:rsidRPr="00EA1B63">
        <w:rPr>
          <w:rFonts w:asciiTheme="majorHAnsi" w:hAnsiTheme="majorHAnsi" w:cstheme="majorHAnsi"/>
          <w:sz w:val="12"/>
        </w:rPr>
        <w:t xml:space="preserve"> would not simply disclose pathologies. It </w:t>
      </w:r>
      <w:r w:rsidRPr="00EA1B63">
        <w:rPr>
          <w:rStyle w:val="Emphasis"/>
          <w:rFonts w:asciiTheme="majorHAnsi" w:hAnsiTheme="majorHAnsi" w:cstheme="majorHAnsi"/>
          <w:highlight w:val="cyan"/>
        </w:rPr>
        <w:t>would</w:t>
      </w:r>
      <w:r w:rsidRPr="00EA1B63">
        <w:rPr>
          <w:rFonts w:asciiTheme="majorHAnsi" w:hAnsiTheme="majorHAnsi" w:cstheme="majorHAnsi"/>
          <w:sz w:val="12"/>
        </w:rPr>
        <w:t xml:space="preserve"> also </w:t>
      </w:r>
      <w:r w:rsidRPr="00EA1B63">
        <w:rPr>
          <w:rStyle w:val="Emphasis"/>
          <w:rFonts w:asciiTheme="majorHAnsi" w:hAnsiTheme="majorHAnsi" w:cstheme="majorHAnsi"/>
          <w:highlight w:val="cyan"/>
        </w:rPr>
        <w:t>offer</w:t>
      </w:r>
      <w:r w:rsidRPr="00EA1B63">
        <w:rPr>
          <w:rStyle w:val="Emphasis"/>
          <w:rFonts w:asciiTheme="majorHAnsi" w:hAnsiTheme="majorHAnsi" w:cstheme="majorHAnsi"/>
        </w:rPr>
        <w:t xml:space="preserve"> </w:t>
      </w:r>
      <w:r w:rsidRPr="00EA1B63">
        <w:rPr>
          <w:rFonts w:asciiTheme="majorHAnsi" w:hAnsiTheme="majorHAnsi" w:cstheme="majorHAnsi"/>
          <w:sz w:val="12"/>
        </w:rPr>
        <w:t xml:space="preserve">constructive </w:t>
      </w:r>
      <w:r w:rsidRPr="00EA1B63">
        <w:rPr>
          <w:rStyle w:val="Emphasis"/>
          <w:rFonts w:asciiTheme="majorHAnsi" w:hAnsiTheme="majorHAnsi" w:cstheme="majorHAnsi"/>
          <w:highlight w:val="cyan"/>
        </w:rPr>
        <w:t>resources which allow us to</w:t>
      </w:r>
      <w:r w:rsidRPr="00EA1B63">
        <w:rPr>
          <w:rFonts w:asciiTheme="majorHAnsi" w:hAnsiTheme="majorHAnsi" w:cstheme="majorHAnsi"/>
          <w:sz w:val="12"/>
        </w:rPr>
        <w:t xml:space="preserve"> critically address and, as far as possible, </w:t>
      </w:r>
      <w:r w:rsidRPr="00EA1B63">
        <w:rPr>
          <w:rStyle w:val="Emphasis"/>
          <w:rFonts w:asciiTheme="majorHAnsi" w:hAnsiTheme="majorHAnsi" w:cstheme="majorHAnsi"/>
          <w:highlight w:val="cyan"/>
        </w:rPr>
        <w:t>overcome these pathologies without providing</w:t>
      </w:r>
      <w:r w:rsidRPr="00EA1B63">
        <w:rPr>
          <w:rFonts w:asciiTheme="majorHAnsi" w:hAnsiTheme="majorHAnsi" w:cstheme="majorHAnsi"/>
          <w:sz w:val="12"/>
        </w:rPr>
        <w:t xml:space="preserve"> yet </w:t>
      </w:r>
      <w:r w:rsidRPr="00EA1B63">
        <w:rPr>
          <w:rStyle w:val="Emphasis"/>
          <w:rFonts w:asciiTheme="majorHAnsi" w:hAnsiTheme="majorHAnsi" w:cstheme="majorHAnsi"/>
          <w:highlight w:val="cyan"/>
        </w:rPr>
        <w:t>another reifying project</w:t>
      </w:r>
      <w:r w:rsidRPr="00EA1B63">
        <w:rPr>
          <w:rFonts w:asciiTheme="majorHAnsi" w:hAnsiTheme="majorHAnsi" w:cstheme="majorHAnsi"/>
          <w:sz w:val="12"/>
        </w:rPr>
        <w:t xml:space="preserve"> that sells out on the potentiality of the present for the sake of the future.</w:t>
      </w:r>
    </w:p>
    <w:p w14:paraId="79E25877" w14:textId="02864453" w:rsidR="00CF0385" w:rsidRPr="00EA1B63" w:rsidRDefault="00CF0385" w:rsidP="00CF0385">
      <w:pPr>
        <w:pStyle w:val="Heading4"/>
        <w:rPr>
          <w:rFonts w:asciiTheme="majorHAnsi" w:hAnsiTheme="majorHAnsi" w:cstheme="majorHAnsi"/>
        </w:rPr>
      </w:pPr>
      <w:r w:rsidRPr="00EA1B63">
        <w:rPr>
          <w:rFonts w:asciiTheme="majorHAnsi" w:hAnsiTheme="majorHAnsi" w:cstheme="majorHAnsi"/>
        </w:rPr>
        <w:t xml:space="preserve">It also impacts intellectual property- broken incentives means drugs do jack shit against the diseases that </w:t>
      </w:r>
      <w:proofErr w:type="gramStart"/>
      <w:r w:rsidRPr="00EA1B63">
        <w:rPr>
          <w:rFonts w:asciiTheme="majorHAnsi" w:hAnsiTheme="majorHAnsi" w:cstheme="majorHAnsi"/>
        </w:rPr>
        <w:t>actually kill</w:t>
      </w:r>
      <w:proofErr w:type="gramEnd"/>
      <w:r w:rsidRPr="00EA1B63">
        <w:rPr>
          <w:rFonts w:asciiTheme="majorHAnsi" w:hAnsiTheme="majorHAnsi" w:cstheme="majorHAnsi"/>
        </w:rPr>
        <w:t xml:space="preserve"> people and focus either on me-too drugs for patent protection or ads</w:t>
      </w:r>
    </w:p>
    <w:p w14:paraId="391D6678" w14:textId="795CF2E3" w:rsidR="00D7747E" w:rsidRPr="00EA1B63" w:rsidRDefault="00D7747E" w:rsidP="00D7747E">
      <w:pPr>
        <w:rPr>
          <w:rFonts w:asciiTheme="majorHAnsi" w:hAnsiTheme="majorHAnsi" w:cstheme="majorHAnsi"/>
        </w:rPr>
      </w:pPr>
      <w:r w:rsidRPr="00EA1B63">
        <w:rPr>
          <w:rFonts w:asciiTheme="majorHAnsi" w:hAnsiTheme="majorHAnsi" w:cstheme="majorHAnsi"/>
        </w:rPr>
        <w:t xml:space="preserve">Hagop </w:t>
      </w:r>
      <w:r w:rsidRPr="00EA1B63">
        <w:rPr>
          <w:rStyle w:val="Style13ptBold"/>
          <w:rFonts w:asciiTheme="majorHAnsi" w:hAnsiTheme="majorHAnsi" w:cstheme="majorHAnsi"/>
        </w:rPr>
        <w:t>Kantarjian</w:t>
      </w:r>
      <w:r w:rsidRPr="00EA1B63">
        <w:rPr>
          <w:rFonts w:asciiTheme="majorHAnsi" w:hAnsiTheme="majorHAnsi" w:cstheme="majorHAnsi"/>
        </w:rPr>
        <w:t>, 12/12/</w:t>
      </w:r>
      <w:r w:rsidRPr="00EA1B63">
        <w:rPr>
          <w:rStyle w:val="Style13ptBold"/>
          <w:rFonts w:asciiTheme="majorHAnsi" w:hAnsiTheme="majorHAnsi" w:cstheme="majorHAnsi"/>
        </w:rPr>
        <w:t>16</w:t>
      </w:r>
      <w:r w:rsidRPr="00EA1B63">
        <w:rPr>
          <w:rFonts w:asciiTheme="majorHAnsi" w:hAnsiTheme="majorHAnsi" w:cstheme="majorHAnsi"/>
        </w:rPr>
        <w:t xml:space="preserve">, "The Harm of High Drug Prices," US News &amp; World Report, </w:t>
      </w:r>
      <w:hyperlink r:id="rId12" w:history="1">
        <w:r w:rsidRPr="00EA1B63">
          <w:rPr>
            <w:rStyle w:val="Hyperlink"/>
            <w:rFonts w:asciiTheme="majorHAnsi" w:hAnsiTheme="majorHAnsi" w:cstheme="majorHAnsi"/>
          </w:rPr>
          <w:t>https://www.usnews.com/opinion/policy-dose/articles/2016-12-12/the-harm-of-high-drug-prices-to-americans-a-continuing-saga</w:t>
        </w:r>
      </w:hyperlink>
      <w:r w:rsidRPr="00EA1B63">
        <w:rPr>
          <w:rFonts w:asciiTheme="majorHAnsi" w:hAnsiTheme="majorHAnsi" w:cstheme="majorHAnsi"/>
        </w:rPr>
        <w:t>, r0w@n</w:t>
      </w:r>
    </w:p>
    <w:p w14:paraId="3029945F" w14:textId="61AE1278" w:rsidR="00D7747E" w:rsidRPr="00EA1B63" w:rsidRDefault="00D7747E" w:rsidP="00D7747E">
      <w:pPr>
        <w:rPr>
          <w:rFonts w:asciiTheme="majorHAnsi" w:hAnsiTheme="majorHAnsi" w:cstheme="majorHAnsi"/>
          <w:sz w:val="16"/>
        </w:rPr>
      </w:pPr>
      <w:r w:rsidRPr="00EA1B63">
        <w:rPr>
          <w:rFonts w:asciiTheme="majorHAnsi" w:hAnsiTheme="majorHAnsi" w:cstheme="majorHAnsi"/>
          <w:sz w:val="16"/>
        </w:rPr>
        <w:t xml:space="preserve">Under criticism, the drug industry repeats the same arguments: 1) high cost of research and development; 2) benefit justifies price; 3) market forces; and 4) regulating prices stifles innovation. But all four arguments lack validity. The cost of research and development is only 10 percent of the $1-2.6 billion figure that is claimed in industry-supported studies. More than 50 percent of important discoveries are made in independent academic centers, funded by taxpayers, and 85 percent of basic research is conducted in academic centers. </w:t>
      </w:r>
      <w:r w:rsidRPr="00EA1B63">
        <w:rPr>
          <w:rStyle w:val="Emphasis"/>
          <w:rFonts w:asciiTheme="majorHAnsi" w:hAnsiTheme="majorHAnsi" w:cstheme="majorHAnsi"/>
          <w:highlight w:val="cyan"/>
        </w:rPr>
        <w:t>The</w:t>
      </w:r>
      <w:r w:rsidRPr="00EA1B63">
        <w:rPr>
          <w:rFonts w:asciiTheme="majorHAnsi" w:hAnsiTheme="majorHAnsi" w:cstheme="majorHAnsi"/>
          <w:sz w:val="16"/>
        </w:rPr>
        <w:t xml:space="preserve"> drug </w:t>
      </w:r>
      <w:r w:rsidRPr="00EA1B63">
        <w:rPr>
          <w:rStyle w:val="Emphasis"/>
          <w:rFonts w:asciiTheme="majorHAnsi" w:hAnsiTheme="majorHAnsi" w:cstheme="majorHAnsi"/>
          <w:highlight w:val="cyan"/>
        </w:rPr>
        <w:t>industry spends 1.3 percent</w:t>
      </w:r>
      <w:r w:rsidRPr="00EA1B63">
        <w:rPr>
          <w:rFonts w:asciiTheme="majorHAnsi" w:hAnsiTheme="majorHAnsi" w:cstheme="majorHAnsi"/>
          <w:sz w:val="16"/>
        </w:rPr>
        <w:t xml:space="preserve"> of its budget </w:t>
      </w:r>
      <w:r w:rsidRPr="00EA1B63">
        <w:rPr>
          <w:rStyle w:val="Emphasis"/>
          <w:rFonts w:asciiTheme="majorHAnsi" w:hAnsiTheme="majorHAnsi" w:cstheme="majorHAnsi"/>
          <w:highlight w:val="cyan"/>
        </w:rPr>
        <w:t>on basic research</w:t>
      </w:r>
      <w:r w:rsidRPr="00EA1B63">
        <w:rPr>
          <w:rFonts w:asciiTheme="majorHAnsi" w:hAnsiTheme="majorHAnsi" w:cstheme="majorHAnsi"/>
          <w:sz w:val="16"/>
        </w:rPr>
        <w:t xml:space="preserve">, but </w:t>
      </w:r>
      <w:r w:rsidRPr="00EA1B63">
        <w:rPr>
          <w:rStyle w:val="Emphasis"/>
          <w:rFonts w:asciiTheme="majorHAnsi" w:hAnsiTheme="majorHAnsi" w:cstheme="majorHAnsi"/>
          <w:highlight w:val="cyan"/>
        </w:rPr>
        <w:t>20-40 percent on advertisements</w:t>
      </w:r>
      <w:r w:rsidRPr="00EA1B63">
        <w:rPr>
          <w:rFonts w:asciiTheme="majorHAnsi" w:hAnsiTheme="majorHAnsi" w:cstheme="majorHAnsi"/>
          <w:sz w:val="16"/>
        </w:rPr>
        <w:t xml:space="preserve"> and related activities. Some studies show no relationship between drug benefits and price. Drug companies enjoy monopoly-like conditions that discourage competition based on price. Finally, innovation is driven by independent investigators who will continue to conduct research even if drug prices fall.</w:t>
      </w:r>
    </w:p>
    <w:p w14:paraId="20155EBF" w14:textId="77777777" w:rsidR="00D7747E" w:rsidRPr="00EA1B63" w:rsidRDefault="00D7747E" w:rsidP="00D7747E">
      <w:pPr>
        <w:rPr>
          <w:rFonts w:asciiTheme="majorHAnsi" w:hAnsiTheme="majorHAnsi" w:cstheme="majorHAnsi"/>
        </w:rPr>
      </w:pPr>
      <w:r w:rsidRPr="00EA1B63">
        <w:rPr>
          <w:rFonts w:asciiTheme="majorHAnsi" w:hAnsiTheme="majorHAnsi" w:cstheme="majorHAnsi"/>
        </w:rPr>
        <w:t xml:space="preserve">Audrey </w:t>
      </w:r>
      <w:r w:rsidRPr="00EA1B63">
        <w:rPr>
          <w:rStyle w:val="Style13ptBold"/>
          <w:rFonts w:asciiTheme="majorHAnsi" w:hAnsiTheme="majorHAnsi" w:cstheme="majorHAnsi"/>
        </w:rPr>
        <w:t>Farley</w:t>
      </w:r>
      <w:r w:rsidRPr="00EA1B63">
        <w:rPr>
          <w:rFonts w:asciiTheme="majorHAnsi" w:hAnsiTheme="majorHAnsi" w:cstheme="majorHAnsi"/>
        </w:rPr>
        <w:t>, 5-10-20</w:t>
      </w:r>
      <w:r w:rsidRPr="00EA1B63">
        <w:rPr>
          <w:rStyle w:val="Style13ptBold"/>
          <w:rFonts w:asciiTheme="majorHAnsi" w:hAnsiTheme="majorHAnsi" w:cstheme="majorHAnsi"/>
        </w:rPr>
        <w:t>19</w:t>
      </w:r>
      <w:r w:rsidRPr="00EA1B63">
        <w:rPr>
          <w:rFonts w:asciiTheme="majorHAnsi" w:hAnsiTheme="majorHAnsi" w:cstheme="majorHAnsi"/>
        </w:rPr>
        <w:t xml:space="preserve">, "Big Pharma Is Pushing a Big Lie," New Republic, https://newrepublic.com/article/153864/innovation-drug-price-myth </w:t>
      </w:r>
    </w:p>
    <w:p w14:paraId="05300CFB" w14:textId="2A41FCCC" w:rsidR="00D7747E" w:rsidRPr="00EA1B63" w:rsidRDefault="00D7747E" w:rsidP="00D7747E">
      <w:pPr>
        <w:rPr>
          <w:rFonts w:asciiTheme="majorHAnsi" w:hAnsiTheme="majorHAnsi" w:cstheme="majorHAnsi"/>
          <w:sz w:val="16"/>
        </w:rPr>
      </w:pPr>
      <w:r w:rsidRPr="00EA1B63">
        <w:rPr>
          <w:rFonts w:asciiTheme="majorHAnsi" w:hAnsiTheme="majorHAnsi" w:cstheme="majorHAnsi"/>
          <w:sz w:val="16"/>
        </w:rPr>
        <w:t xml:space="preserve">And while the drug industry purports to focus on cures for Alzheimer’s, rare cancers, and other neglected diseases, it actually prioritizes “me-too” drugs (tweaks of competitors’ medications introduced simply to gain market share) and drugs for non-life-threatening conditions like male baldness. </w:t>
      </w:r>
      <w:r w:rsidRPr="00EA1B63">
        <w:rPr>
          <w:rStyle w:val="Emphasis"/>
          <w:rFonts w:asciiTheme="majorHAnsi" w:hAnsiTheme="majorHAnsi" w:cstheme="majorHAnsi"/>
          <w:highlight w:val="cyan"/>
        </w:rPr>
        <w:t>Seventy-eight percent of patents</w:t>
      </w:r>
      <w:r w:rsidRPr="00EA1B63">
        <w:rPr>
          <w:rFonts w:asciiTheme="majorHAnsi" w:hAnsiTheme="majorHAnsi" w:cstheme="majorHAnsi"/>
          <w:sz w:val="16"/>
        </w:rPr>
        <w:t xml:space="preserve"> recently approved by the FDA </w:t>
      </w:r>
      <w:r w:rsidRPr="00EA1B63">
        <w:rPr>
          <w:rStyle w:val="Emphasis"/>
          <w:rFonts w:asciiTheme="majorHAnsi" w:hAnsiTheme="majorHAnsi" w:cstheme="majorHAnsi"/>
          <w:highlight w:val="cyan"/>
        </w:rPr>
        <w:t>were for medications already on the market</w:t>
      </w:r>
      <w:r w:rsidRPr="00EA1B63">
        <w:rPr>
          <w:rFonts w:asciiTheme="majorHAnsi" w:hAnsiTheme="majorHAnsi" w:cstheme="majorHAnsi"/>
          <w:sz w:val="16"/>
        </w:rPr>
        <w:t xml:space="preserve">; and </w:t>
      </w:r>
      <w:r w:rsidRPr="00EA1B63">
        <w:rPr>
          <w:rStyle w:val="Emphasis"/>
          <w:rFonts w:asciiTheme="majorHAnsi" w:hAnsiTheme="majorHAnsi" w:cstheme="majorHAnsi"/>
          <w:highlight w:val="cyan"/>
        </w:rPr>
        <w:t>only 1 percent of R&amp;D funding was allotted to rare and neglected diseases</w:t>
      </w:r>
      <w:r w:rsidRPr="00EA1B63">
        <w:rPr>
          <w:rFonts w:asciiTheme="majorHAnsi" w:hAnsiTheme="majorHAnsi" w:cstheme="majorHAnsi"/>
          <w:sz w:val="16"/>
        </w:rPr>
        <w:t xml:space="preserve"> between 2000 and 2011. It’s safe to assume, though, that we won’t be hearing about </w:t>
      </w:r>
      <w:r w:rsidRPr="00EA1B63">
        <w:rPr>
          <w:rFonts w:asciiTheme="majorHAnsi" w:hAnsiTheme="majorHAnsi" w:cstheme="majorHAnsi"/>
          <w:sz w:val="16"/>
        </w:rPr>
        <w:lastRenderedPageBreak/>
        <w:t>the plight of affluent, middle-aged men at the hearing. Instead, we’re likely to hear about a future in which people are dying because of a lack of commercial incentives to produce drugs without patent protections. One health care reporter recently described this threat as “the industry’s Soup Nazi justification for the status quo.” No high prices? Then no innovation for you.</w:t>
      </w:r>
    </w:p>
    <w:p w14:paraId="51D1382F" w14:textId="0B09E0EE" w:rsidR="00BB39BA" w:rsidRPr="00EA1B63" w:rsidRDefault="005D60B2" w:rsidP="00BB39BA">
      <w:pPr>
        <w:pStyle w:val="Heading4"/>
        <w:spacing w:before="0"/>
        <w:rPr>
          <w:rFonts w:asciiTheme="majorHAnsi" w:hAnsiTheme="majorHAnsi" w:cstheme="majorHAnsi"/>
          <w:sz w:val="24"/>
        </w:rPr>
      </w:pPr>
      <w:r w:rsidRPr="00EA1B63">
        <w:rPr>
          <w:rFonts w:asciiTheme="majorHAnsi" w:hAnsiTheme="majorHAnsi" w:cstheme="majorHAnsi"/>
        </w:rPr>
        <w:t xml:space="preserve">AND </w:t>
      </w:r>
      <w:r w:rsidR="00BB39BA" w:rsidRPr="00EA1B63">
        <w:rPr>
          <w:rFonts w:asciiTheme="majorHAnsi" w:hAnsiTheme="majorHAnsi" w:cstheme="majorHAnsi"/>
        </w:rPr>
        <w:t>Making drugs is insanely expensive- new tech won’t save us</w:t>
      </w:r>
      <w:r w:rsidR="00F64F22">
        <w:rPr>
          <w:rFonts w:asciiTheme="majorHAnsi" w:hAnsiTheme="majorHAnsi" w:cstheme="majorHAnsi"/>
        </w:rPr>
        <w:t>- triggers collapse in innovation</w:t>
      </w:r>
    </w:p>
    <w:p w14:paraId="626553C4" w14:textId="77777777" w:rsidR="00BB39BA" w:rsidRPr="00EA1B63" w:rsidRDefault="00BB39BA" w:rsidP="00BB39BA">
      <w:pPr>
        <w:pStyle w:val="NormalWeb"/>
        <w:spacing w:before="15" w:beforeAutospacing="0" w:after="180" w:afterAutospacing="0"/>
        <w:rPr>
          <w:rFonts w:asciiTheme="majorHAnsi" w:hAnsiTheme="majorHAnsi" w:cstheme="majorHAnsi"/>
        </w:rPr>
      </w:pPr>
      <w:r w:rsidRPr="00EA1B63">
        <w:rPr>
          <w:rFonts w:asciiTheme="majorHAnsi" w:hAnsiTheme="majorHAnsi" w:cstheme="majorHAnsi"/>
          <w:b/>
          <w:bCs/>
          <w:sz w:val="26"/>
          <w:szCs w:val="26"/>
          <w:u w:val="single"/>
        </w:rPr>
        <w:t>Fleming, 19</w:t>
      </w:r>
      <w:r w:rsidRPr="00EA1B63">
        <w:rPr>
          <w:rFonts w:asciiTheme="majorHAnsi" w:hAnsiTheme="majorHAnsi" w:cstheme="majorHAnsi"/>
          <w:sz w:val="22"/>
          <w:szCs w:val="22"/>
        </w:rPr>
        <w:t> </w:t>
      </w:r>
      <w:r w:rsidRPr="00EA1B63">
        <w:rPr>
          <w:rFonts w:asciiTheme="majorHAnsi" w:hAnsiTheme="majorHAnsi" w:cstheme="majorHAnsi"/>
        </w:rPr>
        <w:t>(Standish Fleming, 6-20-2019, accessed on 10-7-2021, Forbes, "Drug Prices And Innovation", https://www.forbes.com/sites/stanfleming/2019/06/20/the-relationship-between-drug-prices-and-innovation/?sh=14b2fb854b11</w:t>
      </w:r>
      <w:proofErr w:type="gramStart"/>
      <w:r w:rsidRPr="00EA1B63">
        <w:rPr>
          <w:rFonts w:asciiTheme="majorHAnsi" w:hAnsiTheme="majorHAnsi" w:cstheme="majorHAnsi"/>
        </w:rPr>
        <w:t>) ,</w:t>
      </w:r>
      <w:proofErr w:type="gramEnd"/>
      <w:r w:rsidRPr="00EA1B63">
        <w:rPr>
          <w:rFonts w:asciiTheme="majorHAnsi" w:hAnsiTheme="majorHAnsi" w:cstheme="majorHAnsi"/>
        </w:rPr>
        <w:t xml:space="preserve"> r0w@n</w:t>
      </w:r>
    </w:p>
    <w:p w14:paraId="6A82BE5E" w14:textId="5D421437" w:rsidR="00D7747E" w:rsidRPr="00EA1B63" w:rsidRDefault="00BB39BA" w:rsidP="00D7747E">
      <w:pPr>
        <w:rPr>
          <w:rFonts w:asciiTheme="majorHAnsi" w:hAnsiTheme="majorHAnsi" w:cstheme="majorHAnsi"/>
          <w:sz w:val="14"/>
        </w:rPr>
      </w:pPr>
      <w:r w:rsidRPr="00EA1B63">
        <w:rPr>
          <w:rFonts w:asciiTheme="majorHAnsi" w:hAnsiTheme="majorHAnsi" w:cstheme="majorHAnsi"/>
          <w:sz w:val="14"/>
        </w:rPr>
        <w:t xml:space="preserve">Taking prescription medication. Politicians and even knowledgeable industry observers have called for price controls to deal with what many see as a crisis in drug pricing. Can pricing boards do what pharma and the market in the eyes of many have not: Balance patient needs for access with profits required to fund product development? If they fail, government controls could put at risk patients and an industry already facing an uncertain future. The answer depends on the relationship between prices and innovation. Are Drug Prices Too High? Any list of candidates for “priced too high” would have to include Humira, the world’s best-selling drug. In 2018 sales amounted to $19.9 billion. In the U.S. a year’s supply runs about $40,000 after rebates. Could a pricing commission reduce the cost of Humira without endangering innovation? The difficulty in correlating prices and revenue with productivity arises because there is not a one-to-one relationship between the sales of a single drug, or even a company, and output. Very few molecules that enter clinical testing reach the market and fewer still are commercially successful. The companies selling the most sought-after drugs are not likely to be the ones who discover their replacements. Innovation is the product of the entire community. Rather than questioning the cost of a drug, the trade-off between price and productivity must be considered in the context of the industry. The Business of Making Pharmaceuticals Pharma is two very different businesses--- discovering/developing new drugs and manufacturing/selling products. Selling pharmaceuticals is a global business of relatively low risk (once established in the market, best-selling drugs tend to stay that way), life-and-death demand and immense scale. Proprietary small-molecule drugs (those still under patent protection) can cost pennies to manufacture and sell for thousands to millions of patients. Companies like Pfizer and Johnson &amp; Johnson have been among the most profitable in the world. On the other hand, drug discovery is a business of high and inherently unpredictable risk that consumes billions of dollars over cycle times measured in decades. Pharma excels at sales but is failing at discovery. Without profitable innovation, the industry cannot sustain itself. In 2018 </w:t>
      </w:r>
      <w:r w:rsidRPr="00EA1B63">
        <w:rPr>
          <w:rStyle w:val="Emphasis"/>
          <w:rFonts w:asciiTheme="majorHAnsi" w:hAnsiTheme="majorHAnsi" w:cstheme="majorHAnsi"/>
          <w:highlight w:val="cyan"/>
        </w:rPr>
        <w:t>returns to investment in drug discovery</w:t>
      </w:r>
      <w:r w:rsidRPr="00EA1B63">
        <w:rPr>
          <w:rFonts w:asciiTheme="majorHAnsi" w:hAnsiTheme="majorHAnsi" w:cstheme="majorHAnsi"/>
          <w:sz w:val="14"/>
        </w:rPr>
        <w:t xml:space="preserve">/development </w:t>
      </w:r>
      <w:r w:rsidRPr="00EA1B63">
        <w:rPr>
          <w:rStyle w:val="Emphasis"/>
          <w:rFonts w:asciiTheme="majorHAnsi" w:hAnsiTheme="majorHAnsi" w:cstheme="majorHAnsi"/>
          <w:highlight w:val="cyan"/>
        </w:rPr>
        <w:t>were 1.9%, far below the 10.5% cost-of-capital</w:t>
      </w:r>
      <w:r w:rsidRPr="00EA1B63">
        <w:rPr>
          <w:rFonts w:asciiTheme="majorHAnsi" w:hAnsiTheme="majorHAnsi" w:cstheme="majorHAnsi"/>
          <w:sz w:val="14"/>
        </w:rPr>
        <w:t xml:space="preserve">—the rate-of-return the industry must provide to compete for capital with similar investments. Under the current pricing regime, the expected </w:t>
      </w:r>
      <w:r w:rsidRPr="00EA1B63">
        <w:rPr>
          <w:rStyle w:val="Emphasis"/>
          <w:rFonts w:asciiTheme="majorHAnsi" w:hAnsiTheme="majorHAnsi" w:cstheme="majorHAnsi"/>
          <w:highlight w:val="cyan"/>
        </w:rPr>
        <w:t>returns from drug discovery do not justify investment</w:t>
      </w:r>
      <w:r w:rsidRPr="00EA1B63">
        <w:rPr>
          <w:rFonts w:asciiTheme="majorHAnsi" w:hAnsiTheme="majorHAnsi" w:cstheme="majorHAnsi"/>
          <w:sz w:val="14"/>
        </w:rPr>
        <w:t xml:space="preserve">. They have not done so since 2010 and are </w:t>
      </w:r>
      <w:r w:rsidRPr="00EA1B63">
        <w:rPr>
          <w:rStyle w:val="Emphasis"/>
          <w:rFonts w:asciiTheme="majorHAnsi" w:hAnsiTheme="majorHAnsi" w:cstheme="majorHAnsi"/>
          <w:highlight w:val="cyan"/>
        </w:rPr>
        <w:t>expected to turn negative by 2020</w:t>
      </w:r>
      <w:r w:rsidRPr="00EA1B63">
        <w:rPr>
          <w:rFonts w:asciiTheme="majorHAnsi" w:hAnsiTheme="majorHAnsi" w:cstheme="majorHAnsi"/>
          <w:sz w:val="14"/>
        </w:rPr>
        <w:t xml:space="preserve">. As a result, big </w:t>
      </w:r>
      <w:r w:rsidRPr="00EA1B63">
        <w:rPr>
          <w:rStyle w:val="Emphasis"/>
          <w:rFonts w:asciiTheme="majorHAnsi" w:hAnsiTheme="majorHAnsi" w:cstheme="majorHAnsi"/>
          <w:highlight w:val="cyan"/>
        </w:rPr>
        <w:t>pharma</w:t>
      </w:r>
      <w:r w:rsidRPr="00EA1B63">
        <w:rPr>
          <w:rFonts w:asciiTheme="majorHAnsi" w:hAnsiTheme="majorHAnsi" w:cstheme="majorHAnsi"/>
          <w:sz w:val="14"/>
        </w:rPr>
        <w:t>, despite one of the highest rates of R&amp;D spending of any industry</w:t>
      </w:r>
      <w:r w:rsidRPr="00EA1B63">
        <w:rPr>
          <w:rStyle w:val="Emphasis"/>
          <w:rFonts w:asciiTheme="majorHAnsi" w:hAnsiTheme="majorHAnsi" w:cstheme="majorHAnsi"/>
          <w:highlight w:val="cyan"/>
        </w:rPr>
        <w:t>, chronically fails to fund research sufficient to support</w:t>
      </w:r>
      <w:r w:rsidRPr="00EA1B63">
        <w:rPr>
          <w:rFonts w:asciiTheme="majorHAnsi" w:hAnsiTheme="majorHAnsi" w:cstheme="majorHAnsi"/>
          <w:sz w:val="14"/>
        </w:rPr>
        <w:t xml:space="preserve"> adequate </w:t>
      </w:r>
      <w:r w:rsidRPr="00EA1B63">
        <w:rPr>
          <w:rStyle w:val="Emphasis"/>
          <w:rFonts w:asciiTheme="majorHAnsi" w:hAnsiTheme="majorHAnsi" w:cstheme="majorHAnsi"/>
          <w:highlight w:val="cyan"/>
        </w:rPr>
        <w:t>growth.</w:t>
      </w:r>
      <w:r w:rsidRPr="00EA1B63">
        <w:rPr>
          <w:rFonts w:asciiTheme="majorHAnsi" w:hAnsiTheme="majorHAnsi" w:cstheme="majorHAnsi"/>
          <w:sz w:val="14"/>
        </w:rPr>
        <w:t xml:space="preserve"> The largest, like Pfizer and AbbVie that own Lipitor and Humira, can insure profitability by buying the most promising new medicines and companies, but returns to the average drug don’t cover the cost of development. The Challenge of Setting Prices Two businesses, one highly profitable; the other failing. Can pricing commissions reconcile lucrative sales and cost of innovation? If, as utility commissions often do, states were to allow the industry to recoup its cost-of-capital, they would raise prices substantially--hardly likely. The mandate is to lower prices to the point of “affordability,” whatever that means, but clearly lower than they are today. The first question when lowering prices is which drugs and by how much. Sales are unevenly distributed. A small minority of “blockbuster” drugs that sell over $1 billion per year support the industry, as shown in the probability distribution function (PDF) below. A PDF groups returns (sales) in “bins,” listed on the X-axis and lists the number of drugs in each bin on the Y-axis. The chart reflects that in 2014, 170 (21%) proprietary drugs on the far-right side of the curve out a total 834 with sales in the U.S. (EvaluatePharma® 10/2015, Evaluate Ltd.) contributed 80% of the industry revenue. (The columns on the left have been truncated to increase the vertical scale to show the smallest columns on the right.) Probability Distribution Function of Drug Sales in the U.S. 2014 That skewed distribution of sales is typical for the industry. Between 1995 and 2014 roughly 20% of the drugs have provided 80% of the revenue. 20% of Drugs Produce 80% of Sales The trend line (green) below indicates that during the same period, the concentration of sales in a smaller percentage of drugs increased steadily and is likely to continue. The pharmaceutical industry depends on the revenue from blockbusters. Green Line Shows a Smaller % of Drugs Make-up 80% of Sales 1995-2014 The best-selling proprietary drugs--those covered by patents--are the newest with the greatest value to patients in quality of life, to the health system in avoided care and to society in recovered productivity. Exclusive ownership enables pharma price these products in relation to their value. Returns to proprietary drugs compensate the industry for the investment in innovation. After patent expiration, the owners lose exclusivity; generic versions enter the market and competitive forces generally drive down the price to the point at which it covers cost of manufacturing, plus a modest profit. Lipitor as a proprietary drug carried a price as high as $168. Today, a 30-day supply can sell for as little as $3.30, a 98% reduction. Compensation for development ends when a drug goes off-patent; generic producers do not invest in innovation. As difficult as compromise will be for an industry that is falling short of sustainable growth, it will also be a challenge for pricing boards. If affordability is the mandate, regardless of how low commissions set prices, they will face pressure to go farther still. Markets steer capital to where the need, and hence the value, is highest. Controls would do the opposite. The higher the medical need and the more patients treated, the greater will be the pressure to reduce prices. No matter how concerned the commissioners are about innovation, it is hard to imagine that a pricing board could countenance blockbuster profits. According to data provided by EvaluatePharma, in 2014 a reduction of 25% in the revenue generated by the ten best-selling drugs (20% of sales) would have reduced industry receipts in the U.S. by $12 billion or about 5%. For sellers the loss of revenue would fall directly to the bottom line. In 2013 the average profit margin for the top drug companies was approximately 20%. A 5% reduction in revenue would have resulted in a 25% reduction in profits for the industry and much more for the individual companies (e.g. Humira represents 65% of AbbVie’s profits). A similar reduction today would drop the industry’s return-on-investment (ROI) in new drugs from near-breakeven to substantially negative. To compensate for the lost revenue, managers would have to reduce costs, starting with investment in R&amp;D. Innovation would be severely curtailed throughout the industry, and yet best-selling drugs like Humira would still show blockbuster profits. Most drugs are commercial failures. A pharmaceutical industry without blockbuster pricing would not be viable, because it could not recover the cost of innovation. Why Are Drugs So </w:t>
      </w:r>
      <w:r w:rsidRPr="00EA1B63">
        <w:rPr>
          <w:rFonts w:asciiTheme="majorHAnsi" w:hAnsiTheme="majorHAnsi" w:cstheme="majorHAnsi"/>
          <w:sz w:val="14"/>
        </w:rPr>
        <w:lastRenderedPageBreak/>
        <w:t>Expensive to Make? Pharma has a productivity problem. Most of the drugs they test in the clinic fail</w:t>
      </w:r>
      <w:r w:rsidRPr="00EA1B63">
        <w:rPr>
          <w:rStyle w:val="Emphasis"/>
          <w:rFonts w:asciiTheme="majorHAnsi" w:hAnsiTheme="majorHAnsi" w:cstheme="majorHAnsi"/>
          <w:highlight w:val="cyan"/>
        </w:rPr>
        <w:t>. Only</w:t>
      </w:r>
      <w:r w:rsidRPr="00EA1B63">
        <w:rPr>
          <w:rFonts w:asciiTheme="majorHAnsi" w:hAnsiTheme="majorHAnsi" w:cstheme="majorHAnsi"/>
          <w:sz w:val="14"/>
        </w:rPr>
        <w:t xml:space="preserve"> about </w:t>
      </w:r>
      <w:r w:rsidRPr="00EA1B63">
        <w:rPr>
          <w:rStyle w:val="Emphasis"/>
          <w:rFonts w:asciiTheme="majorHAnsi" w:hAnsiTheme="majorHAnsi" w:cstheme="majorHAnsi"/>
          <w:highlight w:val="cyan"/>
        </w:rPr>
        <w:t>12%</w:t>
      </w:r>
      <w:r w:rsidRPr="00EA1B63">
        <w:rPr>
          <w:rFonts w:asciiTheme="majorHAnsi" w:hAnsiTheme="majorHAnsi" w:cstheme="majorHAnsi"/>
          <w:sz w:val="14"/>
        </w:rPr>
        <w:t xml:space="preserve"> of the drugs that enter clinical trials </w:t>
      </w:r>
      <w:r w:rsidRPr="00EA1B63">
        <w:rPr>
          <w:rStyle w:val="Emphasis"/>
          <w:rFonts w:asciiTheme="majorHAnsi" w:hAnsiTheme="majorHAnsi" w:cstheme="majorHAnsi"/>
          <w:highlight w:val="cyan"/>
        </w:rPr>
        <w:t>make it to the market</w:t>
      </w:r>
      <w:r w:rsidRPr="00EA1B63">
        <w:rPr>
          <w:rFonts w:asciiTheme="majorHAnsi" w:hAnsiTheme="majorHAnsi" w:cstheme="majorHAnsi"/>
          <w:sz w:val="14"/>
        </w:rPr>
        <w:t xml:space="preserve">. Since </w:t>
      </w:r>
      <w:r w:rsidRPr="00EA1B63">
        <w:rPr>
          <w:rStyle w:val="Emphasis"/>
          <w:rFonts w:asciiTheme="majorHAnsi" w:hAnsiTheme="majorHAnsi" w:cstheme="majorHAnsi"/>
          <w:highlight w:val="cyan"/>
        </w:rPr>
        <w:t xml:space="preserve">only 20% of those </w:t>
      </w:r>
      <w:r w:rsidRPr="00EA1B63">
        <w:rPr>
          <w:rFonts w:asciiTheme="majorHAnsi" w:hAnsiTheme="majorHAnsi" w:cstheme="majorHAnsi"/>
          <w:sz w:val="14"/>
        </w:rPr>
        <w:t xml:space="preserve">provide meaningful </w:t>
      </w:r>
      <w:r w:rsidRPr="00EA1B63">
        <w:rPr>
          <w:rStyle w:val="Emphasis"/>
          <w:rFonts w:asciiTheme="majorHAnsi" w:hAnsiTheme="majorHAnsi" w:cstheme="majorHAnsi"/>
          <w:highlight w:val="cyan"/>
        </w:rPr>
        <w:t>profit</w:t>
      </w:r>
      <w:r w:rsidRPr="00EA1B63">
        <w:rPr>
          <w:rFonts w:asciiTheme="majorHAnsi" w:hAnsiTheme="majorHAnsi" w:cstheme="majorHAnsi"/>
          <w:sz w:val="14"/>
        </w:rPr>
        <w:t xml:space="preserve">s, the output from </w:t>
      </w:r>
      <w:r w:rsidRPr="00EA1B63">
        <w:rPr>
          <w:rStyle w:val="Emphasis"/>
          <w:rFonts w:asciiTheme="majorHAnsi" w:hAnsiTheme="majorHAnsi" w:cstheme="majorHAnsi"/>
          <w:highlight w:val="cyan"/>
        </w:rPr>
        <w:t>less than 3%</w:t>
      </w:r>
      <w:r w:rsidRPr="00EA1B63">
        <w:rPr>
          <w:rFonts w:asciiTheme="majorHAnsi" w:hAnsiTheme="majorHAnsi" w:cstheme="majorHAnsi"/>
          <w:sz w:val="14"/>
        </w:rPr>
        <w:t xml:space="preserve"> of all drugs tested </w:t>
      </w:r>
      <w:r w:rsidRPr="00EA1B63">
        <w:rPr>
          <w:rStyle w:val="Emphasis"/>
          <w:rFonts w:asciiTheme="majorHAnsi" w:hAnsiTheme="majorHAnsi" w:cstheme="majorHAnsi"/>
          <w:highlight w:val="cyan"/>
        </w:rPr>
        <w:t>support</w:t>
      </w:r>
      <w:r w:rsidRPr="00EA1B63">
        <w:rPr>
          <w:rFonts w:asciiTheme="majorHAnsi" w:hAnsiTheme="majorHAnsi" w:cstheme="majorHAnsi"/>
          <w:sz w:val="14"/>
        </w:rPr>
        <w:t xml:space="preserve">s </w:t>
      </w:r>
      <w:r w:rsidRPr="00EA1B63">
        <w:rPr>
          <w:rStyle w:val="Emphasis"/>
          <w:rFonts w:asciiTheme="majorHAnsi" w:hAnsiTheme="majorHAnsi" w:cstheme="majorHAnsi"/>
          <w:highlight w:val="cyan"/>
        </w:rPr>
        <w:t>the industry</w:t>
      </w:r>
      <w:r w:rsidRPr="00EA1B63">
        <w:rPr>
          <w:rFonts w:asciiTheme="majorHAnsi" w:hAnsiTheme="majorHAnsi" w:cstheme="majorHAnsi"/>
          <w:sz w:val="14"/>
        </w:rPr>
        <w:t xml:space="preserve">. The apparent inefficiency arises because drug development is based on experimental science that is inherently unpredictable, as explained in an earlier post. Only through trial-and-error can researchers find new molecules that are both safe and effective. Regardless of experience and insight, drug developers cannot pick early winners or predict the outcome of clinical trials. If a drug company tries to “play it safe” by working on familiar drugs, they will almost certainly not be able to compete against the medicines already on the market, many selling at generic prices. The failure rate is compounded by the high cost of patient care. For diseases like cancer, a clinical trial can cost as much as $150,000 per patient and require hundreds, sometimes thousands, of subjects. FDA approval requires multiple trials, stretching over more than 10 years. Both risk and clinical costs have risen steadily in the last two decades. </w:t>
      </w:r>
      <w:r w:rsidRPr="00EA1B63">
        <w:rPr>
          <w:rStyle w:val="Emphasis"/>
          <w:rFonts w:asciiTheme="majorHAnsi" w:hAnsiTheme="majorHAnsi" w:cstheme="majorHAnsi"/>
          <w:highlight w:val="cyan"/>
        </w:rPr>
        <w:t>New technology</w:t>
      </w:r>
      <w:r w:rsidRPr="00EA1B63">
        <w:rPr>
          <w:rFonts w:asciiTheme="majorHAnsi" w:hAnsiTheme="majorHAnsi" w:cstheme="majorHAnsi"/>
          <w:sz w:val="14"/>
        </w:rPr>
        <w:t xml:space="preserve">--such as artificial intelligence and wearable monitors--holds great promise, but experience has shown that, though such advances improve care and expand the breadth and depth of data, more-often-than-not they </w:t>
      </w:r>
      <w:r w:rsidRPr="00EA1B63">
        <w:rPr>
          <w:rStyle w:val="Emphasis"/>
          <w:rFonts w:asciiTheme="majorHAnsi" w:hAnsiTheme="majorHAnsi" w:cstheme="majorHAnsi"/>
          <w:highlight w:val="cyan"/>
        </w:rPr>
        <w:t>add to the price tag</w:t>
      </w:r>
      <w:r w:rsidRPr="00EA1B63">
        <w:rPr>
          <w:rFonts w:asciiTheme="majorHAnsi" w:hAnsiTheme="majorHAnsi" w:cstheme="majorHAnsi"/>
          <w:sz w:val="14"/>
        </w:rPr>
        <w:t xml:space="preserve">. The cost of patient care will continue to increase, as the quality improves. Even with today’s generous drug prices, on average it costs more for pharmaceutical companies to develop new products than they are worth. The mean annual U.S. sales (approximately 45% of world market) for a drug in 2014 was $288 million (EvaluatePharma® 10/2015, Evaluate Ltd.); the contribution margin (the income left after sales and operating expenses but before overhead and discretionary spending, like R&amp;D) was about 50%--greater in the US, less overseas. So, world-wide, the average drug would have “contributed” to the industry about $350 million that year. The cost to produce a new drug, as measured by The Tufts University Center for the Study of Drug Development, was $2.6 billion (informal studies have set the level as high as $6 billion), growing at 8.5% annually. With a 10.5% cost-of-capital, it would take pharma more than 15 years of average sales to reach breakeven. Patent life is 20 years from the filing date. Drugs sold in the U.S. between 1995 and 2017 (data provided by EvaluatePharma) were on the market for an average of less than seven years. As a result, productivity at large pharma is collapsing; their share of new drugs approved by the FDA has fallen from 39% in 2015 to 26% in 2018. </w:t>
      </w:r>
    </w:p>
    <w:p w14:paraId="75AB5854" w14:textId="461B7BA9" w:rsidR="008F2BE6" w:rsidRPr="00EA1B63" w:rsidRDefault="008F2BE6" w:rsidP="008F2BE6">
      <w:pPr>
        <w:pStyle w:val="Heading4"/>
        <w:spacing w:before="0"/>
        <w:rPr>
          <w:rFonts w:asciiTheme="majorHAnsi" w:hAnsiTheme="majorHAnsi" w:cstheme="majorHAnsi"/>
          <w:sz w:val="24"/>
        </w:rPr>
      </w:pPr>
      <w:r w:rsidRPr="00EA1B63">
        <w:rPr>
          <w:rFonts w:asciiTheme="majorHAnsi" w:hAnsiTheme="majorHAnsi" w:cstheme="majorHAnsi"/>
        </w:rPr>
        <w:t>AND Pharma owns everyone- means reforms impossible without reimaginations</w:t>
      </w:r>
    </w:p>
    <w:p w14:paraId="496887AD" w14:textId="77777777" w:rsidR="008F2BE6" w:rsidRPr="00EA1B63" w:rsidRDefault="008F2BE6" w:rsidP="008F2BE6">
      <w:pPr>
        <w:pStyle w:val="NormalWeb"/>
        <w:spacing w:before="15" w:beforeAutospacing="0" w:after="180" w:afterAutospacing="0"/>
        <w:rPr>
          <w:rFonts w:asciiTheme="majorHAnsi" w:hAnsiTheme="majorHAnsi" w:cstheme="majorHAnsi"/>
        </w:rPr>
      </w:pPr>
      <w:r w:rsidRPr="00EA1B63">
        <w:rPr>
          <w:rFonts w:asciiTheme="majorHAnsi" w:hAnsiTheme="majorHAnsi" w:cstheme="majorHAnsi"/>
          <w:b/>
          <w:bCs/>
          <w:sz w:val="26"/>
          <w:szCs w:val="26"/>
          <w:u w:val="single"/>
        </w:rPr>
        <w:t>Bartley et al., 20</w:t>
      </w:r>
      <w:r w:rsidRPr="00EA1B63">
        <w:rPr>
          <w:rFonts w:asciiTheme="majorHAnsi" w:hAnsiTheme="majorHAnsi" w:cstheme="majorHAnsi"/>
          <w:sz w:val="22"/>
          <w:szCs w:val="22"/>
        </w:rPr>
        <w:t> </w:t>
      </w:r>
      <w:r w:rsidRPr="00EA1B63">
        <w:rPr>
          <w:rFonts w:asciiTheme="majorHAnsi" w:hAnsiTheme="majorHAnsi" w:cstheme="majorHAnsi"/>
        </w:rPr>
        <w:t>(Kaitlyn Bartley, Lev Facher, Sarah Mupo, STAT staff, Adam Feuerstein, Megan Molteni, Mario Aguilar, and Casey Ross, 8-10-2020, accessed on 10-7-2021, STAT, "Pharma is showering Congress with cash, even amid coronavirus", https://www.statnews.com/feature/prescription-politics/prescription-politics/) , r0w@n</w:t>
      </w:r>
    </w:p>
    <w:p w14:paraId="4A29C6BF" w14:textId="77777777" w:rsidR="008F2BE6" w:rsidRPr="00EA1B63" w:rsidRDefault="008F2BE6" w:rsidP="008F2BE6">
      <w:pPr>
        <w:rPr>
          <w:rFonts w:asciiTheme="majorHAnsi" w:hAnsiTheme="majorHAnsi" w:cstheme="majorHAnsi"/>
          <w:sz w:val="14"/>
        </w:rPr>
      </w:pPr>
      <w:r w:rsidRPr="00EA1B63">
        <w:rPr>
          <w:rFonts w:asciiTheme="majorHAnsi" w:hAnsiTheme="majorHAnsi" w:cstheme="majorHAnsi"/>
          <w:sz w:val="14"/>
        </w:rPr>
        <w:t xml:space="preserve">Exclusive analysis of biotech, pharma, and the life sciences Account More Follow Us Aug. 10, 2020 Interactives by Kaitlyn Bartley Story by Lev Facher WASHINGTON — The world’s biggest </w:t>
      </w:r>
      <w:r w:rsidRPr="00EA1B63">
        <w:rPr>
          <w:rStyle w:val="Emphasis"/>
          <w:rFonts w:asciiTheme="majorHAnsi" w:hAnsiTheme="majorHAnsi" w:cstheme="majorHAnsi"/>
          <w:highlight w:val="cyan"/>
        </w:rPr>
        <w:t>drug makers</w:t>
      </w:r>
      <w:r w:rsidRPr="00EA1B63">
        <w:rPr>
          <w:rFonts w:asciiTheme="majorHAnsi" w:hAnsiTheme="majorHAnsi" w:cstheme="majorHAnsi"/>
          <w:sz w:val="14"/>
        </w:rPr>
        <w:t xml:space="preserve"> and their trade groups have </w:t>
      </w:r>
      <w:r w:rsidRPr="00EA1B63">
        <w:rPr>
          <w:rStyle w:val="Emphasis"/>
          <w:rFonts w:asciiTheme="majorHAnsi" w:hAnsiTheme="majorHAnsi" w:cstheme="majorHAnsi"/>
          <w:highlight w:val="cyan"/>
        </w:rPr>
        <w:t>cut checks to 356 lawmakers</w:t>
      </w:r>
      <w:r w:rsidRPr="00EA1B63">
        <w:rPr>
          <w:rFonts w:asciiTheme="majorHAnsi" w:hAnsiTheme="majorHAnsi" w:cstheme="majorHAnsi"/>
          <w:sz w:val="14"/>
        </w:rPr>
        <w:t xml:space="preserve"> ahead of this year’s election — </w:t>
      </w:r>
      <w:r w:rsidRPr="00EA1B63">
        <w:rPr>
          <w:rStyle w:val="Emphasis"/>
          <w:rFonts w:asciiTheme="majorHAnsi" w:hAnsiTheme="majorHAnsi" w:cstheme="majorHAnsi"/>
          <w:highlight w:val="cyan"/>
        </w:rPr>
        <w:t>more than two-thirds of</w:t>
      </w:r>
      <w:r w:rsidRPr="00EA1B63">
        <w:rPr>
          <w:rFonts w:asciiTheme="majorHAnsi" w:hAnsiTheme="majorHAnsi" w:cstheme="majorHAnsi"/>
          <w:sz w:val="14"/>
        </w:rPr>
        <w:t xml:space="preserve"> the sitting members of </w:t>
      </w:r>
      <w:r w:rsidRPr="00EA1B63">
        <w:rPr>
          <w:rStyle w:val="Emphasis"/>
          <w:rFonts w:asciiTheme="majorHAnsi" w:hAnsiTheme="majorHAnsi" w:cstheme="majorHAnsi"/>
          <w:highlight w:val="cyan"/>
        </w:rPr>
        <w:t>Congress</w:t>
      </w:r>
      <w:r w:rsidRPr="00EA1B63">
        <w:rPr>
          <w:rFonts w:asciiTheme="majorHAnsi" w:hAnsiTheme="majorHAnsi" w:cstheme="majorHAnsi"/>
          <w:sz w:val="14"/>
        </w:rPr>
        <w:t xml:space="preserve">, according to a new STAT analysis. It’s a barrage of contributions that accounts for roughly $11 million in campaign giving, distributed via roughly 4,500 checks from the political action committees affiliated with the companies. The spending follows a long tradition of generous political giving. Major manufacturers typically make hundreds of modest donations to incumbent members of Congress but avoid donating to presidential candidates, seeing little utility in placing presidential bets. advertisement As the Covid-19 pandemic has sparked a race among drug makers eager to develop a vaccine and improve the industry’s standing in Washington — pharma’s giving underscores the breadth of its influence and its efforts to curry favor through lobbying and donations to the lawmakers who regulate health care. STAT’s examination focused on 23 of the biggest drug makers and the two major trade associations: PhRMA and the Biotechnology Innovation Organization, known as BIO. It includes a series of data visualizations that map the pharmaceutical industry’s spending and the lawmakers who’ve accepted its PAC donations. The analysis underscores the array of connections between the lawmakers and the drug companies they regulate. Already in 2020, the companies’ PACs have donated $8.62 million to individual candidates or their affiliated committees. The companies directed another $2.59 million to broader political groups like the Moderate Democrats PAC or the National Republican Senatorial Committee, and to other drug industry PACs, including PhRMA’s. advertisement Pfizer’s PAC has been the most active, sending 548 checks to various lawmakers and other industry groups — more checks than the actual number of elected officials in the House and Senate. Amgen and Merck cut another 405 and 379, respectively. The companies spread their cash far and wide: Illinois-based AbbVie, for instance, made contributions to lawmakers in 45 states, as well as the nonvoting House delegates who represent the District of Columbia, Puerto Rico and the U.S. Virgin Islands. The drug industry’s political spending this year — much of which has flooded in over the last six months — comes even as most drug makers have thrown their energy into efforts into finding, testing, and developing Covid-19 treatments and vaccines. Drug manufacturers around the world have leapt into the race, including several whose PACs have supported hundreds of lawmakers, including Pfizer, Gilead Sciences, and AstraZeneca. </w:t>
      </w:r>
      <w:r w:rsidRPr="00EA1B63">
        <w:rPr>
          <w:rStyle w:val="Emphasis"/>
          <w:rFonts w:asciiTheme="majorHAnsi" w:hAnsiTheme="majorHAnsi" w:cstheme="majorHAnsi"/>
          <w:highlight w:val="cyan"/>
        </w:rPr>
        <w:t>Washington</w:t>
      </w:r>
      <w:r w:rsidRPr="00EA1B63">
        <w:rPr>
          <w:rFonts w:asciiTheme="majorHAnsi" w:hAnsiTheme="majorHAnsi" w:cstheme="majorHAnsi"/>
          <w:sz w:val="14"/>
        </w:rPr>
        <w:t xml:space="preserve"> has responded </w:t>
      </w:r>
      <w:r w:rsidRPr="00EA1B63">
        <w:rPr>
          <w:rStyle w:val="Emphasis"/>
          <w:rFonts w:asciiTheme="majorHAnsi" w:hAnsiTheme="majorHAnsi" w:cstheme="majorHAnsi"/>
          <w:highlight w:val="cyan"/>
        </w:rPr>
        <w:t>with clear financial rewards</w:t>
      </w:r>
      <w:r w:rsidRPr="00EA1B63">
        <w:rPr>
          <w:rFonts w:asciiTheme="majorHAnsi" w:hAnsiTheme="majorHAnsi" w:cstheme="majorHAnsi"/>
          <w:sz w:val="14"/>
        </w:rPr>
        <w:t xml:space="preserve"> for that work. Already, Congress has provided billions of additional dollars to federal health care agencies aimed at helping fund drug company research. A recent proposal from Senate Republicans would award BARDA, an agency largely tasked with funding drug companies’ Covid-19 efforts, an additional $20 billion — 14 times more money than it was allocated last year. </w:t>
      </w:r>
      <w:r w:rsidRPr="00EA1B63">
        <w:rPr>
          <w:rStyle w:val="Emphasis"/>
          <w:rFonts w:asciiTheme="majorHAnsi" w:hAnsiTheme="majorHAnsi" w:cstheme="majorHAnsi"/>
          <w:highlight w:val="cyan"/>
        </w:rPr>
        <w:t>“It’s</w:t>
      </w:r>
      <w:r w:rsidRPr="00EA1B63">
        <w:rPr>
          <w:rFonts w:asciiTheme="majorHAnsi" w:hAnsiTheme="majorHAnsi" w:cstheme="majorHAnsi"/>
          <w:sz w:val="14"/>
        </w:rPr>
        <w:t xml:space="preserve"> less about a particular deliverable and more </w:t>
      </w:r>
      <w:r w:rsidRPr="00EA1B63">
        <w:rPr>
          <w:rStyle w:val="Emphasis"/>
          <w:rFonts w:asciiTheme="majorHAnsi" w:hAnsiTheme="majorHAnsi" w:cstheme="majorHAnsi"/>
          <w:highlight w:val="cyan"/>
        </w:rPr>
        <w:t>about creating a relationship</w:t>
      </w:r>
      <w:r w:rsidRPr="00EA1B63">
        <w:rPr>
          <w:rFonts w:asciiTheme="majorHAnsi" w:hAnsiTheme="majorHAnsi" w:cstheme="majorHAnsi"/>
          <w:sz w:val="14"/>
        </w:rPr>
        <w:t xml:space="preserve">,” said Sheila Krumholz, the executive director of the Center for Responsive Politics, a money-in-politics group that STAT contracted with to supply contribution records. “And, maybe, </w:t>
      </w:r>
      <w:r w:rsidRPr="00EA1B63">
        <w:rPr>
          <w:rStyle w:val="Emphasis"/>
          <w:rFonts w:asciiTheme="majorHAnsi" w:hAnsiTheme="majorHAnsi" w:cstheme="majorHAnsi"/>
          <w:highlight w:val="cyan"/>
        </w:rPr>
        <w:t>greasing the skids</w:t>
      </w:r>
      <w:r w:rsidRPr="00EA1B63">
        <w:rPr>
          <w:rFonts w:asciiTheme="majorHAnsi" w:hAnsiTheme="majorHAnsi" w:cstheme="majorHAnsi"/>
          <w:sz w:val="14"/>
        </w:rPr>
        <w:t xml:space="preserve"> on a particular issue for which a company has great concern or sees great opportunity. On Covid, it’s certainly both — these corporations are being called to the aid of a country in crisis.” Billy Tauzin, a former Louisiana congressman who later served as CEO of the trade group PhRMA, said in an interview that corporate PAC contributions should be viewed “in the eye of the beholder.” He said they represent a logical way for high-ranking industry employees to support their interests in Washington. “If you want to believe that it’s a corrupt system and people are buying favors, I suppose nobody’s going to convince you otherwise,” he said. “On the other hand, you can accept the notion that not just corporations but individuals in America tend to donate to people with whom they associate — they like the way they vote, they like the way they speak </w:t>
      </w:r>
      <w:r w:rsidRPr="00EA1B63">
        <w:rPr>
          <w:rFonts w:asciiTheme="majorHAnsi" w:hAnsiTheme="majorHAnsi" w:cstheme="majorHAnsi"/>
          <w:sz w:val="14"/>
        </w:rPr>
        <w:lastRenderedPageBreak/>
        <w:t xml:space="preserve">on issues, they like the positions they’ve taken. So you tend to answer the call when they contact you and say: ‘I need some help with my campaign.’” The industry’s congressional spending is also an attempt to avert something of a political armageddon in 2020: If Democrats take control of the Senate and former vice president Joe Biden defeats President Trump, Congress would be poised to enact unprecedented reforms to the way Americans pay for prescription drugs — reforms that would likely slash drug industry revenues. Democrats in the House have already advanced legislation to allow Medicare to negotiate drug prices and, echoing a Trump proposal, to cap U.S. prices based on what pharmaceutical companies charge for medicines in other countries. Biden, despite his reputation as a political moderate and an industry ally, has also campaigned on an aggressive drug pricing platform. “Big </w:t>
      </w:r>
      <w:r w:rsidRPr="00EA1B63">
        <w:rPr>
          <w:rStyle w:val="Emphasis"/>
          <w:rFonts w:asciiTheme="majorHAnsi" w:hAnsiTheme="majorHAnsi" w:cstheme="majorHAnsi"/>
          <w:highlight w:val="cyan"/>
        </w:rPr>
        <w:t>Pharma is</w:t>
      </w:r>
      <w:r w:rsidRPr="00EA1B63">
        <w:rPr>
          <w:rFonts w:asciiTheme="majorHAnsi" w:hAnsiTheme="majorHAnsi" w:cstheme="majorHAnsi"/>
          <w:sz w:val="14"/>
        </w:rPr>
        <w:t xml:space="preserve"> trying to </w:t>
      </w:r>
      <w:r w:rsidRPr="00EA1B63">
        <w:rPr>
          <w:rStyle w:val="Emphasis"/>
          <w:rFonts w:asciiTheme="majorHAnsi" w:hAnsiTheme="majorHAnsi" w:cstheme="majorHAnsi"/>
          <w:highlight w:val="cyan"/>
        </w:rPr>
        <w:t>buy maintenance of the</w:t>
      </w:r>
      <w:r w:rsidRPr="00EA1B63">
        <w:rPr>
          <w:rStyle w:val="Emphasis"/>
          <w:rFonts w:asciiTheme="majorHAnsi" w:hAnsiTheme="majorHAnsi" w:cstheme="majorHAnsi"/>
        </w:rPr>
        <w:t xml:space="preserve"> </w:t>
      </w:r>
      <w:r w:rsidRPr="00EA1B63">
        <w:rPr>
          <w:rFonts w:asciiTheme="majorHAnsi" w:hAnsiTheme="majorHAnsi" w:cstheme="majorHAnsi"/>
          <w:sz w:val="14"/>
        </w:rPr>
        <w:t xml:space="preserve">rigged </w:t>
      </w:r>
      <w:r w:rsidRPr="00EA1B63">
        <w:rPr>
          <w:rStyle w:val="Emphasis"/>
          <w:rFonts w:asciiTheme="majorHAnsi" w:hAnsiTheme="majorHAnsi" w:cstheme="majorHAnsi"/>
          <w:highlight w:val="cyan"/>
        </w:rPr>
        <w:t>status quo</w:t>
      </w:r>
      <w:r w:rsidRPr="00EA1B63">
        <w:rPr>
          <w:rFonts w:asciiTheme="majorHAnsi" w:hAnsiTheme="majorHAnsi" w:cstheme="majorHAnsi"/>
          <w:sz w:val="14"/>
        </w:rPr>
        <w:t xml:space="preserve">,” Ben Wakana, the executive director of the advocacy group Patients for Affordable Drugs Now, said when asked about STAT’s analysis. “The breadth of these contributions shows drug corporations have no intention of doing anything to lower their prices — they are lavishing millions in campaign contributions to protect their power to dictate high prices for prescription drugs.” PhRMA, the powerful drug industry trade group, declined to comment on the strategy behind it and its member companies’ political giving, citing a policy of not publicly discussing political advocacy or lobbying tactics. STAT’s analysis sheds light on which lawmakers have accepted the most checks or highest sums from the drug industry. Twenty-three of the 25 drug companies or trade group PACs in STAT’s survey contributed to Sen. Mitch McConnell, the Republican majority leader seeking reelection in 2020 who raked in more from the industry than any other lawmaker. At the same time, drug industry PACs have also supported a number of lower-profile legislators, many of whom are perceived as industry allies: Rep. Scott Peters (D-Calif.), for instance, received contributions from 18 individual drug companies’ PACs, as well as from PhRMA, the major industry trade group. For all the spending on allies, some company PACs made exceptions. Sen. Ron Wyden (D-Ore.), an outspoken pharmaceutical industry critic and the author of drug pricing legislation in the Senate, accepted checks from Amgen and from the trade group BIO. Though the drug industry’s $11 million in contributions is substantial, the money is spread across hundreds of candidates and rarely significant enough to sway any individual race: Political groups often spend well over $100 million on individual Senate races, making the nearly $200,000 directed to McConnell more of a value statement than a political game-changer. As in previous cycles, the drug industry favored Republicans in its campaign giving, but only somewhat: Of the contributions that targeted specific lawmakers or party groups, </w:t>
      </w:r>
      <w:r w:rsidRPr="00EA1B63">
        <w:rPr>
          <w:rStyle w:val="Emphasis"/>
          <w:rFonts w:asciiTheme="majorHAnsi" w:hAnsiTheme="majorHAnsi" w:cstheme="majorHAnsi"/>
          <w:highlight w:val="cyan"/>
        </w:rPr>
        <w:t>53.5%</w:t>
      </w:r>
      <w:r w:rsidRPr="00EA1B63">
        <w:rPr>
          <w:rFonts w:asciiTheme="majorHAnsi" w:hAnsiTheme="majorHAnsi" w:cstheme="majorHAnsi"/>
          <w:sz w:val="14"/>
        </w:rPr>
        <w:t xml:space="preserve"> went to </w:t>
      </w:r>
      <w:r w:rsidRPr="00EA1B63">
        <w:rPr>
          <w:rStyle w:val="Emphasis"/>
          <w:rFonts w:asciiTheme="majorHAnsi" w:hAnsiTheme="majorHAnsi" w:cstheme="majorHAnsi"/>
          <w:highlight w:val="cyan"/>
        </w:rPr>
        <w:t>GOP</w:t>
      </w:r>
      <w:r w:rsidRPr="00EA1B63">
        <w:rPr>
          <w:rFonts w:asciiTheme="majorHAnsi" w:hAnsiTheme="majorHAnsi" w:cstheme="majorHAnsi"/>
          <w:sz w:val="14"/>
        </w:rPr>
        <w:t xml:space="preserve"> lawmakers or Republican-aligned groups, spread across roughly 2,600 donations. The remaining </w:t>
      </w:r>
      <w:r w:rsidRPr="00EA1B63">
        <w:rPr>
          <w:rStyle w:val="Emphasis"/>
          <w:rFonts w:asciiTheme="majorHAnsi" w:hAnsiTheme="majorHAnsi" w:cstheme="majorHAnsi"/>
          <w:highlight w:val="cyan"/>
        </w:rPr>
        <w:t>46.6%</w:t>
      </w:r>
      <w:r w:rsidRPr="00EA1B63">
        <w:rPr>
          <w:rFonts w:asciiTheme="majorHAnsi" w:hAnsiTheme="majorHAnsi" w:cstheme="majorHAnsi"/>
          <w:sz w:val="14"/>
        </w:rPr>
        <w:t xml:space="preserve"> went to </w:t>
      </w:r>
      <w:r w:rsidRPr="00EA1B63">
        <w:rPr>
          <w:rStyle w:val="Emphasis"/>
          <w:rFonts w:asciiTheme="majorHAnsi" w:hAnsiTheme="majorHAnsi" w:cstheme="majorHAnsi"/>
          <w:highlight w:val="cyan"/>
        </w:rPr>
        <w:t>Democrats</w:t>
      </w:r>
      <w:r w:rsidRPr="00EA1B63">
        <w:rPr>
          <w:rFonts w:asciiTheme="majorHAnsi" w:hAnsiTheme="majorHAnsi" w:cstheme="majorHAnsi"/>
          <w:sz w:val="14"/>
        </w:rPr>
        <w:t>, spread across roughly 2,100 individual donations. The pharmaceutical industry’s campaign giving is broadly in line with other major industries, whose member company PACs typically give millions or tens of millions of dollars to congressional candidates each election season. To contribute to campaigns, drug companies form political action committees that high-level employees are often encouraged to donate to. Those PACs are commonly viewed as a proxy operating in the company’s interest, because corporations themselves are prohibited by law from donating directly to candidates. Executives often donate hundreds of dollars each month to their company’s PAC, though their contributions are capped at $5,000 annually. Companies and trade groups also sometimes funnel money to candidates less directly, via independent committees known as “super PACs” not technically affiliated with a specific candidate but that can raise unlimited money from corporations. Companies employ different strategies to determine PAC spending, but high-level company executives often effectively control the process. Many manufacturers employ PAC boards, which are often composed of company executives and other high-level employees, to decide which candidates to support. “Those are typically senior-level government-affairs executives,” said Kristin Brackemyre, the government relations director for the Public Affairs Council, a nonpartisan professional association in Washington. “Legal counsel is very involved in PAC processes and activities, and then oftentimes there’s a financial officer — but we’re seeing that a lot of corporate PACs are really trying to diversify the representatives that serve on their PAC boards so that it’s more reflective of the company at large.” Pfizer’s PAC, which has given more to candidates than any other individual drug manufacturer group in the 2020 cycle, is co-chaired by Sally Susman, the company’s chief corporate affairs officer. Brackemyre added: “It’s things like: Is this member a member of leadership? Are they serving on a committee with jurisdiction over issues that are important to our company or our industry? Have they been a sympathetic ear to issues that are important to our industry? Do they have a voting record that aligns with the priorities of [our] organization?” The drug industry has a clear stake in keeping the Senate in Republican hands — and its political spending in 2020 reflects that priority. The drug industry has showered $197,386 on Senate Majority Leader Mitch McConnell this cycle, more than any other lawmaker. Its PACs have also thrown more than $100,000 each to five other Republican senators up for reelection, many of whom are seen as industry allies: Sens. Thom Tillis of North Carolina, Bill Cassidy of Louisiana, Cory Gardner of Colorado, John Cornyn of Texas, Steve Daines of Montana. The strategy is clear: With Joe Biden leading President Trump in early polling, and with Democrats controlling the House of Representatives, the race for Senate in 2020 may determine whether the party controls all three branches of government. That represents something of a nightmare scenario for drug companies, who in recent years have scrambled to fight off proposals from House Democrats and from the Trump administration to aggressively control drug prices. Nearly all of the Republicans that the industry is protecting face well-funded Democratic challengers, many of whom are polling competitively with Republican incumbents even in Trump-friendly states like Montana and South Carolina. Drug company PACs, however, have not neglected Democratic incumbents: Vulnerable senators including Doug Jones of Alabama and Gary Peters of Michigan also ranked among the top 20 recipients of pharmaceutical industry cash. It is typical, in fact, for corporate PACs to support incumbent lawmakers’ reelection bids, regardless of their party affiliations. In 2018, many top recipients of drug industry funding were Democratic senators, like Bob Menendez of New Jersey and Bob Casey of Pennsylvania. Beyond their interest in preserving a GOP Senate majority, drug industry PACs have traditionally supported lawmakers who are seen as allies, or who hold key positions in Congress that uniquely position them to influence policies relevant to the industry. “They seem to target officials that were sitting on key health care committees, so the Energy and Commerce and the Ways and Means committees, the Finance Committee in the Senate,” said Olivier Wouters, a professor at the London School of Economics who this year published a two-decade analysis of pharmaceutical campaign spending. “They appear to be giving this money quite strategically.” McConnell, the Senate leader, has expressed little interest in pursuing drug pricing legislation in the past four years — so much that he has ignored a major, bipartisan proposal that passed the Senate Finance Committee, declining to advance it to the Senate for a vote. In 2019, Cornyn, at drug lobbyists’ behest, softened patent legislation aimed at lowering drug prices. Tillis is a staunch industry ally who represents major biotech and drug manufacturing interests in North Carolina, and who has authored intellectual property legislation supported by drug companies. And while Cassidy has wavered on whether he supports a controversial measure to limit drug prices based on what drug companies charge overseas, he broadly remains an evangelist for drug companies and the billions of dollars they spend each year on research and development. The National Republican Senatorial Committee and a McConnell spokesman did not respond to STAT’s request for comment. “</w:t>
      </w:r>
      <w:r w:rsidRPr="00EA1B63">
        <w:rPr>
          <w:rStyle w:val="Emphasis"/>
          <w:rFonts w:asciiTheme="majorHAnsi" w:hAnsiTheme="majorHAnsi" w:cstheme="majorHAnsi"/>
          <w:highlight w:val="cyan"/>
        </w:rPr>
        <w:t>They’re not going to abandon</w:t>
      </w:r>
      <w:r w:rsidRPr="00EA1B63">
        <w:rPr>
          <w:rFonts w:asciiTheme="majorHAnsi" w:hAnsiTheme="majorHAnsi" w:cstheme="majorHAnsi"/>
          <w:sz w:val="14"/>
        </w:rPr>
        <w:t xml:space="preserve"> their </w:t>
      </w:r>
      <w:r w:rsidRPr="00EA1B63">
        <w:rPr>
          <w:rStyle w:val="Emphasis"/>
          <w:rFonts w:asciiTheme="majorHAnsi" w:hAnsiTheme="majorHAnsi" w:cstheme="majorHAnsi"/>
          <w:highlight w:val="cyan"/>
        </w:rPr>
        <w:t>longtime industry allies</w:t>
      </w:r>
      <w:r w:rsidRPr="00EA1B63">
        <w:rPr>
          <w:rFonts w:asciiTheme="majorHAnsi" w:hAnsiTheme="majorHAnsi" w:cstheme="majorHAnsi"/>
          <w:sz w:val="14"/>
        </w:rPr>
        <w:t xml:space="preserve"> who are in need, who happen this cycle to be mostly Republicans up for reelection,” said Krumholz, of the Center for Responsive Politics. “What typically happens is that they’ll give to the incumbent, and if as the election approaches the incumbent looks particularly at risk, they will consider gifts to the challenger.” If Democrats gained control of the Senate, they’d likely push to pass legislation along the lines of the Lower Drug Costs Now Act of 2019 — a Democratic proposal that would let Medicare directly negotiate the price of 250 drugs and would cap U.S. prices based on those charged in other developed countries. That bill, congressional actuaries estimate, would cost the drug industry between $500 billion and $1 trillion in revenue in the decade after its passage. The top two Democratic recipients overall were clearly more calculated targets: Both Sens. Chris Coons (Del.) and Menendez represent states where </w:t>
      </w:r>
      <w:r w:rsidRPr="00EA1B63">
        <w:rPr>
          <w:rFonts w:asciiTheme="majorHAnsi" w:hAnsiTheme="majorHAnsi" w:cstheme="majorHAnsi"/>
          <w:sz w:val="14"/>
        </w:rPr>
        <w:lastRenderedPageBreak/>
        <w:t xml:space="preserve">pharmaceutical manufacturers play large roles in the local economy. Coons is also seen as an industry ally, and has worked with Tillis to vocally advocate for the stronger intellectual property protections favored by the drug industry. In 14 of the past 16 elections, dating to 1990, pharmaceutical industry PACs have given more money to Republicans than to Democrats. This cycle is no exception: So far in 2020, according to STAT’s analysis, 53.5% of drug industry PAC donations to lawmakers or groups affiliated with a political party have gone to Republicans, while 46.6% have gone to Democrats. The difference is more stark at the leadership level. House Minority Leader Kevin McCarthy (R-Calif.) got $129,000 in drug industry campaign cash. House Speaker Nancy </w:t>
      </w:r>
      <w:r w:rsidRPr="00EA1B63">
        <w:rPr>
          <w:rStyle w:val="Emphasis"/>
          <w:rFonts w:asciiTheme="majorHAnsi" w:hAnsiTheme="majorHAnsi" w:cstheme="majorHAnsi"/>
          <w:highlight w:val="cyan"/>
        </w:rPr>
        <w:t>Pelosi</w:t>
      </w:r>
      <w:r w:rsidRPr="00EA1B63">
        <w:rPr>
          <w:rFonts w:asciiTheme="majorHAnsi" w:hAnsiTheme="majorHAnsi" w:cstheme="majorHAnsi"/>
          <w:sz w:val="14"/>
        </w:rPr>
        <w:t xml:space="preserve"> (D-Calif.), meanwhile, </w:t>
      </w:r>
      <w:r w:rsidRPr="00EA1B63">
        <w:rPr>
          <w:rStyle w:val="Emphasis"/>
          <w:rFonts w:asciiTheme="majorHAnsi" w:hAnsiTheme="majorHAnsi" w:cstheme="majorHAnsi"/>
          <w:highlight w:val="cyan"/>
        </w:rPr>
        <w:t>received</w:t>
      </w:r>
      <w:r w:rsidRPr="00EA1B63">
        <w:rPr>
          <w:rFonts w:asciiTheme="majorHAnsi" w:hAnsiTheme="majorHAnsi" w:cstheme="majorHAnsi"/>
          <w:sz w:val="14"/>
        </w:rPr>
        <w:t xml:space="preserve"> just </w:t>
      </w:r>
      <w:r w:rsidRPr="00EA1B63">
        <w:rPr>
          <w:rStyle w:val="Emphasis"/>
          <w:rFonts w:asciiTheme="majorHAnsi" w:hAnsiTheme="majorHAnsi" w:cstheme="majorHAnsi"/>
          <w:highlight w:val="cyan"/>
        </w:rPr>
        <w:t>$11,000.</w:t>
      </w:r>
      <w:r w:rsidRPr="00EA1B63">
        <w:rPr>
          <w:rFonts w:asciiTheme="majorHAnsi" w:hAnsiTheme="majorHAnsi" w:cstheme="majorHAnsi"/>
          <w:sz w:val="14"/>
        </w:rPr>
        <w:t xml:space="preserve"> And while McConnell’s $197,386 make him the leading recipient of industry PAC contributions, according to STAT’s analysis, Senate Minority Leader Chuck Schumer has accepted only $77,500 from drug makers to date. Though drug industry PACs most commonly wrote checks to high-profile lawmakers like McConnell or Schumer, many also targeted comparatively rank-and-file members of Congress of both parties. Rep. Brett Guthrie (R-Ky.), who holds a coveted seat on the House Energy and Commerce Committee’s oversight panel, has accepted $108,147 from drug industry groups so far this cycle. Rep. Kurt Schrader (D-Ore.), who also sits on the Energy and Commerce Committee, was a leading recipient among Democrats with $86,000. Despite the drug industry’s varied giving, in many ways, unified Democratic control of the House and Senate spells a nightmare scenario for the drug industry. House Democrats passed a bill to lower drug prices in 2019 and progressives in the Senate have similarly touted schemes to cap U.S. pharmaceutical prices based on the cost of drugs in other developed countries. A Biden presidency, given his sweeping drug pricing platform, would only add to the industry’s woes. While drug industry advocates have long cast themselves as bipartisan, the campaign finance landscape in 2020 paints an increasingly clear picture of the pharmaceutical industry’s view: Now, perhaps more than ever, it is Republicans who will support their agenda in Congress. Even among GOP ranks, however, there is little that leading drug industry figures can count on. “Big </w:t>
      </w:r>
      <w:r w:rsidRPr="00EA1B63">
        <w:rPr>
          <w:rStyle w:val="Emphasis"/>
          <w:rFonts w:asciiTheme="majorHAnsi" w:hAnsiTheme="majorHAnsi" w:cstheme="majorHAnsi"/>
          <w:highlight w:val="cyan"/>
        </w:rPr>
        <w:t>Pharma</w:t>
      </w:r>
      <w:r w:rsidRPr="00EA1B63">
        <w:rPr>
          <w:rFonts w:asciiTheme="majorHAnsi" w:hAnsiTheme="majorHAnsi" w:cstheme="majorHAnsi"/>
          <w:sz w:val="14"/>
        </w:rPr>
        <w:t xml:space="preserve"> has no political loyalty, and their </w:t>
      </w:r>
      <w:r w:rsidRPr="00EA1B63">
        <w:rPr>
          <w:rStyle w:val="Emphasis"/>
          <w:rFonts w:asciiTheme="majorHAnsi" w:hAnsiTheme="majorHAnsi" w:cstheme="majorHAnsi"/>
          <w:highlight w:val="cyan"/>
        </w:rPr>
        <w:t>strategy of gaining influence by supporting politicians on both sides</w:t>
      </w:r>
      <w:r w:rsidRPr="00EA1B63">
        <w:rPr>
          <w:rFonts w:asciiTheme="majorHAnsi" w:hAnsiTheme="majorHAnsi" w:cstheme="majorHAnsi"/>
          <w:sz w:val="14"/>
        </w:rPr>
        <w:t xml:space="preserve"> of the aisle has </w:t>
      </w:r>
      <w:r w:rsidRPr="00EA1B63">
        <w:rPr>
          <w:rStyle w:val="Emphasis"/>
          <w:rFonts w:asciiTheme="majorHAnsi" w:hAnsiTheme="majorHAnsi" w:cstheme="majorHAnsi"/>
          <w:highlight w:val="cyan"/>
        </w:rPr>
        <w:t>earned them many friends in Washingto</w:t>
      </w:r>
      <w:r w:rsidRPr="00EA1B63">
        <w:rPr>
          <w:rFonts w:asciiTheme="majorHAnsi" w:hAnsiTheme="majorHAnsi" w:cstheme="majorHAnsi"/>
          <w:sz w:val="14"/>
        </w:rPr>
        <w:t xml:space="preserve">n,” Sen. Chuck Grassley (R-Iowa), the chairman of the Senate Finance Committee, told STAT in a statement. STAT’s analysis focuses on the Federal Election Commission’s July quarterly reporting filings, and will be updated as drug companies, candidates, and affiliated political committees disclose additional contributions. The examination relies on records compiled by federal disclosure systems and the Center for Responsive Politics to detail campaign contributions from the 23 biggest drug manufacturers by overall revenue, and the two major trade groups that represent them: PhRMA and BIO. The analysis includes contributions made directly to candidates’ election committees as well as to PACs affiliated with individual candidates. For example, data visualizations include pharmaceutical contributions to the campaign committee of Grassley and to Hawkeye PAC, a separate, Grassley-affiliated campaign group. Contributions to both organizations are attributed to Grassley. The analysis excludes contributions to groups like the Blue Dog PAC, which are loosely affiliated with groups of lawmakers but not directly attributable to a single member of Congress. While AbbVie acquired Allergan in May 2020, STAT’s analysis considers each company individually for the purposes of analyzing their PACs’ political spending. Similarly, the analysis treats PACs affiliated with Bristol Myers Squibb and Celgene separately, despite the completion of the Bristol Myers Squibb’s acquisition in late 2019. In both cases, the companies operated separate PACs and existed as distinct business entities for much of the 2020 election cycle. In two cases, the analysis also groups together the subsidiaries of a larger drug manufacturer, even if they maintain PACs distinct from that of their parent company. Takeda contributions are mapped jointly with Shire, its subsidiary. Roche Holdings is represented by the combined PAC contributions of two subsidiaries that maintain their own PACs: Genentech and Spark Therapeutics. Correction: A previous version of this story misidentified the South Carolina senator seeking reelection in 2020. Interactives: Kaitlyn Bartley Story: Lev Facher Interactives and Story Editor: Erin Mershon Project Manager: Jen Keefe Web Development: Corey Taylor Art Direction: Jen Keefe, Alissa Ambrose Logo and Charts: Melissa Gomes Copy Editor: Sarah Mupo This project is funded by a grant from the NIHCM Foundation. The foundation played no role in the reporting, editing, or presentation of the project. campaign finance Donald Trump pharmaceuticals politics Great reporting and analysis of how Big Pharma strategically cultivates relationships and influence with members of Congress. Follow-up articles are needed to show how </w:t>
      </w:r>
      <w:r w:rsidRPr="00EA1B63">
        <w:rPr>
          <w:rStyle w:val="Emphasis"/>
          <w:rFonts w:asciiTheme="majorHAnsi" w:hAnsiTheme="majorHAnsi" w:cstheme="majorHAnsi"/>
          <w:highlight w:val="cyan"/>
        </w:rPr>
        <w:t>money can buy public policies that favor the special interests of big pharma over American citizens</w:t>
      </w:r>
      <w:r w:rsidRPr="00EA1B63">
        <w:rPr>
          <w:rFonts w:asciiTheme="majorHAnsi" w:hAnsiTheme="majorHAnsi" w:cstheme="majorHAnsi"/>
          <w:sz w:val="14"/>
        </w:rPr>
        <w:t xml:space="preserve"> and taxpayers. More reporting is needed to shed a light on how this plays out with maintaining the status quo, </w:t>
      </w:r>
      <w:r w:rsidRPr="00EA1B63">
        <w:rPr>
          <w:rStyle w:val="Emphasis"/>
          <w:rFonts w:asciiTheme="majorHAnsi" w:hAnsiTheme="majorHAnsi" w:cstheme="majorHAnsi"/>
          <w:highlight w:val="cyan"/>
        </w:rPr>
        <w:t>deregulating the pharma industry, weakening</w:t>
      </w:r>
      <w:r w:rsidRPr="00EA1B63">
        <w:rPr>
          <w:rStyle w:val="Emphasis"/>
          <w:rFonts w:asciiTheme="majorHAnsi" w:hAnsiTheme="majorHAnsi" w:cstheme="majorHAnsi"/>
        </w:rPr>
        <w:t xml:space="preserve"> </w:t>
      </w:r>
      <w:r w:rsidRPr="00EA1B63">
        <w:rPr>
          <w:rFonts w:asciiTheme="majorHAnsi" w:hAnsiTheme="majorHAnsi" w:cstheme="majorHAnsi"/>
          <w:sz w:val="14"/>
        </w:rPr>
        <w:t xml:space="preserve">what little </w:t>
      </w:r>
      <w:r w:rsidRPr="00EA1B63">
        <w:rPr>
          <w:rStyle w:val="Emphasis"/>
          <w:rFonts w:asciiTheme="majorHAnsi" w:hAnsiTheme="majorHAnsi" w:cstheme="majorHAnsi"/>
          <w:highlight w:val="cyan"/>
        </w:rPr>
        <w:t>ethical standards</w:t>
      </w:r>
      <w:r w:rsidRPr="00EA1B63">
        <w:rPr>
          <w:rFonts w:asciiTheme="majorHAnsi" w:hAnsiTheme="majorHAnsi" w:cstheme="majorHAnsi"/>
          <w:sz w:val="14"/>
        </w:rPr>
        <w:t xml:space="preserve"> that exist</w:t>
      </w:r>
      <w:r w:rsidRPr="00EA1B63">
        <w:rPr>
          <w:rStyle w:val="Emphasis"/>
          <w:rFonts w:asciiTheme="majorHAnsi" w:hAnsiTheme="majorHAnsi" w:cstheme="majorHAnsi"/>
          <w:highlight w:val="cyan"/>
        </w:rPr>
        <w:t>, and killing efforts to pass reform public policies</w:t>
      </w:r>
      <w:r w:rsidRPr="00EA1B63">
        <w:rPr>
          <w:rFonts w:asciiTheme="majorHAnsi" w:hAnsiTheme="majorHAnsi" w:cstheme="majorHAnsi"/>
          <w:sz w:val="14"/>
        </w:rPr>
        <w:t xml:space="preserve"> that are: ethical, increase consumer safety, access to effective medications and reduce the cost to US patients and taxpayers. Almost as much money to Congress as to Stat News based on the slant of most of your stories! How ignorant you are !!!!!! I think you left out an important player in the political donation game regarding lowering drug prices. PCMA and the PBM’s. How many millions have their pac’s given to both parties to do nothing ? PCMA’s propaganda machine and the PBM’s are the reason for the high prices of drugs in this country. Drug rebates,spread pricing, DIR fees and GER fees along with the old AWP pricing MUST GO ! Pharma is being squeezed by the PBM’s to keep the bogus AWP prices high so these cash cows can continue to provide billions in profits QUARTERLY ! Bottom line is that ” It’s All About The Gelt(money) !!” Unfortunately PCMA has a lot of it to throw around from many years of fleecing America….. Very Sad… Older Comments » Comments are closed. By Sarah Mupo By STAT staff advertisement By Adam Feuerstein By Megan Molteni and Mario Aguilar By Casey Ross Reporting from the frontiers of health and medicine</w:t>
      </w:r>
    </w:p>
    <w:p w14:paraId="70FC8CFD" w14:textId="33CBA466" w:rsidR="00FA0705" w:rsidRPr="00EA1B63" w:rsidRDefault="00FA0705" w:rsidP="00FA0705">
      <w:pPr>
        <w:pStyle w:val="Heading4"/>
        <w:rPr>
          <w:rFonts w:asciiTheme="majorHAnsi" w:hAnsiTheme="majorHAnsi" w:cstheme="majorHAnsi"/>
        </w:rPr>
      </w:pPr>
      <w:r w:rsidRPr="00EA1B63">
        <w:rPr>
          <w:rFonts w:asciiTheme="majorHAnsi" w:hAnsiTheme="majorHAnsi" w:cstheme="majorHAnsi"/>
        </w:rPr>
        <w:t>Thus the role of the ballot is to establish a form of deferential politics, where we can live sans the unproductive desires and within the flow of the universe</w:t>
      </w:r>
    </w:p>
    <w:p w14:paraId="5FCE5732" w14:textId="0A1B846C" w:rsidR="00FA0705" w:rsidRPr="00EA1B63" w:rsidRDefault="00FA0705" w:rsidP="00FA0705">
      <w:pPr>
        <w:pStyle w:val="Heading4"/>
        <w:rPr>
          <w:rFonts w:asciiTheme="majorHAnsi" w:hAnsiTheme="majorHAnsi" w:cstheme="majorHAnsi"/>
        </w:rPr>
      </w:pPr>
      <w:r w:rsidRPr="00EA1B63">
        <w:rPr>
          <w:rFonts w:asciiTheme="majorHAnsi" w:hAnsiTheme="majorHAnsi" w:cstheme="majorHAnsi"/>
        </w:rPr>
        <w:t>That means it’s wu-wei time</w:t>
      </w:r>
    </w:p>
    <w:p w14:paraId="09F3F721" w14:textId="77777777" w:rsidR="00FA0705" w:rsidRPr="00EA1B63" w:rsidRDefault="00FA0705" w:rsidP="00FA0705">
      <w:pPr>
        <w:rPr>
          <w:rFonts w:asciiTheme="majorHAnsi" w:hAnsiTheme="majorHAnsi" w:cstheme="majorHAnsi"/>
        </w:rPr>
      </w:pPr>
      <w:r w:rsidRPr="00EA1B63">
        <w:rPr>
          <w:rStyle w:val="Style13ptBold"/>
          <w:rFonts w:asciiTheme="majorHAnsi" w:hAnsiTheme="majorHAnsi" w:cstheme="majorHAnsi"/>
        </w:rPr>
        <w:t xml:space="preserve">Ames and Hall 10. </w:t>
      </w:r>
      <w:r w:rsidRPr="00EA1B63">
        <w:rPr>
          <w:rFonts w:asciiTheme="majorHAnsi" w:hAnsiTheme="majorHAnsi" w:cstheme="majorHAnsi"/>
        </w:rPr>
        <w:t xml:space="preserve">Roger Ames and David Hall (Ames is a Canadian philosopher at the University of Peking. Hall was a professor of philosophy at the University of Texas), 2010, “Daodejing: Making this Life Significant,” Ballantine Books, I have a pdf, r0w@n </w:t>
      </w:r>
    </w:p>
    <w:p w14:paraId="6F5C57EB" w14:textId="2CFC2E93" w:rsidR="00FA0705" w:rsidRPr="00EA1B63" w:rsidRDefault="00FA0705" w:rsidP="00FA0705">
      <w:pPr>
        <w:rPr>
          <w:rFonts w:asciiTheme="majorHAnsi" w:hAnsiTheme="majorHAnsi" w:cstheme="majorHAnsi"/>
          <w:sz w:val="12"/>
        </w:rPr>
      </w:pPr>
      <w:r w:rsidRPr="00EA1B63">
        <w:rPr>
          <w:rFonts w:asciiTheme="majorHAnsi" w:hAnsiTheme="majorHAnsi" w:cstheme="majorHAnsi"/>
          <w:sz w:val="12"/>
        </w:rPr>
        <w:t xml:space="preserve">The compilers of the Daodejing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w:t>
      </w:r>
      <w:r w:rsidRPr="00EA1B63">
        <w:rPr>
          <w:rFonts w:asciiTheme="majorHAnsi" w:hAnsiTheme="majorHAnsi" w:cstheme="majorHAnsi"/>
          <w:sz w:val="12"/>
        </w:rPr>
        <w:lastRenderedPageBreak/>
        <w:t>“doctrines” are professionalized by their learned “doctors,” and within their marble academies these erudites—for appropriate status and recompense— are only too glad to amaze the hoi poloi with the ashing dexterity of their philosophic thrusts and parries. What the Daodejing has to o</w:t>
      </w:r>
      <w:r w:rsidRPr="00EA1B63">
        <w:rPr>
          <w:rFonts w:asciiTheme="majorHAnsi" w:hAnsiTheme="majorHAnsi" w:cstheme="majorHAnsi"/>
          <w:sz w:val="12"/>
        </w:rPr>
        <w:pgNum/>
      </w:r>
      <w:r w:rsidRPr="00EA1B63">
        <w:rPr>
          <w:rFonts w:asciiTheme="majorHAnsi" w:hAnsiTheme="majorHAnsi" w:cstheme="majorHAnsi"/>
          <w:sz w:val="12"/>
        </w:rPr>
        <w:t>ffer, on the other hand, is much simpler. It encourages the cultivation of a disposition that is captured in what we have chosen to call its wu-forms. The wu-forms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Daodejing: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Daodejing’s teachings on how to cultivate the most e</w:t>
      </w:r>
      <w:r w:rsidRPr="00EA1B63">
        <w:rPr>
          <w:rFonts w:asciiTheme="majorHAnsi" w:hAnsiTheme="majorHAnsi" w:cstheme="majorHAnsi"/>
          <w:sz w:val="12"/>
        </w:rPr>
        <w:pgNum/>
      </w:r>
      <w:r w:rsidRPr="00EA1B63">
        <w:rPr>
          <w:rFonts w:asciiTheme="majorHAnsi" w:hAnsiTheme="majorHAnsi" w:cstheme="majorHAnsi"/>
          <w:sz w:val="12"/>
        </w:rPr>
        <w:t>ffective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A1B63">
        <w:rPr>
          <w:rFonts w:asciiTheme="majorHAnsi" w:hAnsiTheme="majorHAnsi" w:cstheme="majorHAnsi"/>
          <w:sz w:val="12"/>
        </w:rPr>
        <w:pgNum/>
      </w:r>
      <w:r w:rsidRPr="00EA1B63">
        <w:rPr>
          <w:rFonts w:asciiTheme="majorHAnsi" w:hAnsiTheme="majorHAnsi" w:cstheme="majorHAnsi"/>
          <w:sz w:val="12"/>
        </w:rPr>
        <w:t xml:space="preserve">fines the Daoist sensibility, we might discover that a “single thread” pervades the text. </w:t>
      </w:r>
      <w:r w:rsidRPr="00EA1B63">
        <w:rPr>
          <w:rStyle w:val="Emphasis"/>
          <w:rFonts w:asciiTheme="majorHAnsi" w:hAnsiTheme="majorHAnsi" w:cstheme="majorHAnsi"/>
          <w:highlight w:val="cyan"/>
        </w:rPr>
        <w:t xml:space="preserve">The central focus of the Daoist way </w:t>
      </w:r>
      <w:r w:rsidRPr="00EA1B63">
        <w:rPr>
          <w:rFonts w:asciiTheme="majorHAnsi" w:hAnsiTheme="majorHAnsi" w:cstheme="majorHAnsi"/>
          <w:sz w:val="12"/>
        </w:rPr>
        <w:t>of thinking</w:t>
      </w:r>
      <w:r w:rsidRPr="00EA1B63">
        <w:rPr>
          <w:rStyle w:val="Emphasis"/>
          <w:rFonts w:asciiTheme="majorHAnsi" w:hAnsiTheme="majorHAnsi" w:cstheme="majorHAnsi"/>
          <w:highlight w:val="cyan"/>
        </w:rPr>
        <w:t xml:space="preserve"> is the decisive role of deference</w:t>
      </w:r>
      <w:r w:rsidRPr="00EA1B63">
        <w:rPr>
          <w:rFonts w:asciiTheme="majorHAnsi" w:hAnsiTheme="majorHAnsi" w:cstheme="majorHAnsi"/>
          <w:sz w:val="12"/>
        </w:rPr>
        <w:t xml:space="preserve"> in the establishment and preservation of relationships. As we have said above,</w:t>
      </w:r>
      <w:r w:rsidRPr="00EA1B63">
        <w:rPr>
          <w:rStyle w:val="Emphasis"/>
          <w:rFonts w:asciiTheme="majorHAnsi" w:hAnsiTheme="majorHAnsi" w:cstheme="majorHAnsi"/>
        </w:rPr>
        <w:t xml:space="preserve"> </w:t>
      </w:r>
      <w:r w:rsidRPr="00EA1B63">
        <w:rPr>
          <w:rStyle w:val="Emphasis"/>
          <w:rFonts w:asciiTheme="majorHAnsi" w:hAnsiTheme="majorHAnsi" w:cstheme="majorHAnsi"/>
          <w:highlight w:val="cyan"/>
        </w:rPr>
        <w:t xml:space="preserve">integrity in a processual worldview is </w:t>
      </w:r>
      <w:r w:rsidRPr="00EA1B63">
        <w:rPr>
          <w:rFonts w:asciiTheme="majorHAnsi" w:hAnsiTheme="majorHAnsi" w:cstheme="majorHAnsi"/>
          <w:sz w:val="12"/>
        </w:rPr>
        <w:t>not being one, but</w:t>
      </w:r>
      <w:r w:rsidRPr="00EA1B63">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A1B63">
        <w:rPr>
          <w:rFonts w:asciiTheme="majorHAnsi" w:hAnsiTheme="majorHAnsi" w:cstheme="majorHAnsi"/>
          <w:sz w:val="12"/>
        </w:rPr>
        <w:t>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fortifi</w:t>
      </w:r>
      <w:r w:rsidRPr="00EA1B63">
        <w:rPr>
          <w:rFonts w:asciiTheme="majorHAnsi" w:hAnsiTheme="majorHAnsi" w:cstheme="majorHAnsi"/>
          <w:sz w:val="12"/>
        </w:rPr>
        <w:pgNum/>
      </w:r>
      <w:r w:rsidRPr="00EA1B63">
        <w:rPr>
          <w:rFonts w:asciiTheme="majorHAnsi" w:hAnsiTheme="majorHAnsi" w:cstheme="majorHAnsi"/>
          <w:sz w:val="12"/>
        </w:rPr>
        <w:t>ed becomes available as a locus of deference for others. In Confucianism, self is determined by sustained eff</w:t>
      </w:r>
      <w:r w:rsidRPr="00EA1B63">
        <w:rPr>
          <w:rFonts w:asciiTheme="majorHAnsi" w:hAnsiTheme="majorHAnsi" w:cstheme="majorHAnsi"/>
          <w:sz w:val="12"/>
        </w:rPr>
        <w:pgNum/>
      </w:r>
      <w:r w:rsidRPr="00EA1B63">
        <w:rPr>
          <w:rFonts w:asciiTheme="majorHAnsi" w:hAnsiTheme="majorHAnsi" w:cstheme="majorHAnsi"/>
          <w:sz w:val="12"/>
        </w:rPr>
        <w:t>ort (</w:t>
      </w:r>
      <w:proofErr w:type="spellStart"/>
      <w:r w:rsidRPr="00EA1B63">
        <w:rPr>
          <w:rFonts w:asciiTheme="majorHAnsi" w:hAnsiTheme="majorHAnsi" w:cstheme="majorHAnsi"/>
          <w:sz w:val="12"/>
        </w:rPr>
        <w:t>zbong</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"/var/folders/q0/ktrh288572v7czj7pwywn_6c0000gn/T/com.microsoft.Word/WebArchiveCopyPasteTempFiles/page50image65796320"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44A5D5A5" wp14:editId="2901FDC6">
            <wp:extent cx="165100" cy="155575"/>
            <wp:effectExtent l="0" t="0" r="0" b="0"/>
            <wp:docPr id="244" name="Picture 244"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in deferential transactions (</w:t>
      </w:r>
      <w:proofErr w:type="spellStart"/>
      <w:r w:rsidRPr="00EA1B63">
        <w:rPr>
          <w:rFonts w:asciiTheme="majorHAnsi" w:hAnsiTheme="majorHAnsi" w:cstheme="majorHAnsi"/>
          <w:sz w:val="12"/>
        </w:rPr>
        <w:t>shu</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"/var/folders/q0/ktrh288572v7czj7pwywn_6c0000gn/T/com.microsoft.Word/WebArchiveCopyPasteTempFiles/page50image65788832"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4C715ECF" wp14:editId="344F08C9">
            <wp:extent cx="155575" cy="155575"/>
            <wp:effectExtent l="0" t="0" r="0" b="0"/>
            <wp:docPr id="245" name="Picture 245"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guided by ritually structured roles and relations (li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"/var/folders/q0/ktrh288572v7czj7pwywn_6c0000gn/T/com.microsoft.Word/WebArchiveCopyPasteTempFiles/page50image65786128"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5710DBD6" wp14:editId="3CCE9242">
            <wp:extent cx="165100" cy="155575"/>
            <wp:effectExtent l="0" t="0" r="0" b="0"/>
            <wp:docPr id="246" name="Picture 246"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that project one’s person outward into society and into culture. Such a person becomes a focus of the community’s deference (junzi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"/var/folders/q0/ktrh288572v7czj7pwywn_6c0000gn/T/com.microsoft.Word/WebArchiveCopyPasteTempFiles/page50image65783840"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5BCDCEEF" wp14:editId="01888251">
            <wp:extent cx="340360" cy="155575"/>
            <wp:effectExtent l="0" t="0" r="2540" b="0"/>
            <wp:docPr id="247" name="Picture 247"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and a source of its spirituality (shen ). Daoism, on the other hand, expresses its deferential activity through what we are calling the wu-forms.</w:t>
      </w:r>
      <w:r w:rsidRPr="00EA1B63">
        <w:rPr>
          <w:rStyle w:val="Emphasis"/>
          <w:rFonts w:asciiTheme="majorHAnsi" w:hAnsiTheme="majorHAnsi" w:cstheme="majorHAnsi"/>
        </w:rPr>
        <w:t xml:space="preserve"> </w:t>
      </w:r>
      <w:r w:rsidRPr="00EA1B63">
        <w:rPr>
          <w:rFonts w:asciiTheme="majorHAnsi" w:hAnsiTheme="majorHAnsi" w:cstheme="majorHAnsi"/>
          <w:sz w:val="12"/>
        </w:rPr>
        <w:t xml:space="preserve">The three most familiar articulations of this pervasive sensibility are: wuwei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"/var/folders/q0/ktrh288572v7czj7pwywn_6c0000gn/T/com.microsoft.Word/WebArchiveCopyPasteTempFiles/page50image65857072"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6CFC0895" wp14:editId="1BE22DF3">
            <wp:extent cx="330835" cy="155575"/>
            <wp:effectExtent l="0" t="0" r="0" b="0"/>
            <wp:docPr id="248" name="Picture 248"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wuzhi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"/var/folders/q0/ktrh288572v7czj7pwywn_6c0000gn/T/com.microsoft.Word/WebArchiveCopyPasteTempFiles/page50image65845888"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4F097EFF" wp14:editId="3A59CD8F">
            <wp:extent cx="321310" cy="155575"/>
            <wp:effectExtent l="0" t="0" r="0" b="0"/>
            <wp:docPr id="249" name="Picture 249"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and wuyu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"/var/folders/q0/ktrh288572v7czj7pwywn_6c0000gn/T/com.microsoft.Word/WebArchiveCopyPasteTempFiles/page50image65634304"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222FC762" wp14:editId="1E00CBAD">
            <wp:extent cx="330835" cy="155575"/>
            <wp:effectExtent l="0" t="0" r="0" b="0"/>
            <wp:docPr id="250" name="Picture 250"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These are, respectively, noncoercive actions in accordance with the de (“particular focus”) of things; a sort of knowing without resort to rules or principles; and desiring which does not seek to possess or control its “object.” In each of these instances, as in the case of Confucian shu,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A1B63">
        <w:rPr>
          <w:rFonts w:asciiTheme="majorHAnsi" w:hAnsiTheme="majorHAnsi" w:cstheme="majorHAnsi"/>
          <w:sz w:val="12"/>
        </w:rPr>
        <w:pgNum/>
      </w:r>
      <w:r w:rsidRPr="00EA1B63">
        <w:rPr>
          <w:rFonts w:asciiTheme="majorHAnsi" w:hAnsiTheme="majorHAnsi" w:cstheme="majorHAnsi"/>
          <w:sz w:val="12"/>
        </w:rPr>
        <w:t>eld model of self. Given our discussion of the inseparability of feeling and thinking —the a</w:t>
      </w:r>
      <w:r w:rsidRPr="00EA1B63">
        <w:rPr>
          <w:rFonts w:asciiTheme="majorHAnsi" w:hAnsiTheme="majorHAnsi" w:cstheme="majorHAnsi"/>
          <w:sz w:val="12"/>
        </w:rPr>
        <w:pgNum/>
      </w:r>
      <w:r w:rsidRPr="00EA1B63">
        <w:rPr>
          <w:rFonts w:asciiTheme="majorHAnsi" w:hAnsiTheme="majorHAnsi" w:cstheme="majorHAnsi"/>
          <w:sz w:val="12"/>
        </w:rPr>
        <w:t>ffective and the cognitive—in the Daoist heart-and-mind (xin), the con</w:t>
      </w:r>
      <w:r w:rsidRPr="00EA1B63">
        <w:rPr>
          <w:rFonts w:asciiTheme="majorHAnsi" w:hAnsiTheme="majorHAnsi" w:cstheme="majorHAnsi"/>
          <w:sz w:val="12"/>
        </w:rPr>
        <w:pgNum/>
      </w:r>
      <w:r w:rsidRPr="00EA1B63">
        <w:rPr>
          <w:rFonts w:asciiTheme="majorHAnsi" w:hAnsiTheme="majorHAnsi" w:cstheme="majorHAnsi"/>
          <w:sz w:val="12"/>
        </w:rPr>
        <w:t>flict associated with the self that the Daoist sage must overcome cannot be a struggle among some compartmentalized rational, appetitive, and emotional faculties. Indeed, given the relational and unpartitioned model of the self characterized by xin, it is di</w:t>
      </w:r>
      <w:r w:rsidRPr="00EA1B63">
        <w:rPr>
          <w:rFonts w:asciiTheme="majorHAnsi" w:hAnsiTheme="majorHAnsi" w:cstheme="majorHAnsi"/>
          <w:sz w:val="12"/>
        </w:rPr>
        <w:pgNum/>
      </w:r>
      <w:r w:rsidRPr="00EA1B63">
        <w:rPr>
          <w:rFonts w:asciiTheme="majorHAnsi" w:hAnsiTheme="majorHAnsi" w:cstheme="majorHAnsi"/>
          <w:sz w:val="12"/>
        </w:rPr>
        <w:t xml:space="preserve">cult to imagine how there could be anything like an internal dynamics that would be a source of agitation. It is unlikely that we would nd Hamlets or St. Pauls prominent among the Daoists. If the problematic of unrealized selfhood does not entail a self divided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"/var/folders/q0/ktrh288572v7czj7pwywn_6c0000gn/T/com.microsoft.Word/WebArchiveCopyPasteTempFiles/page50image65634512"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1F9273DB" wp14:editId="50736163">
            <wp:extent cx="165100" cy="155575"/>
            <wp:effectExtent l="0" t="0" r="0" b="0"/>
            <wp:docPr id="251" name="Picture 251"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A1B63">
        <w:rPr>
          <w:rFonts w:asciiTheme="majorHAnsi" w:hAnsiTheme="majorHAnsi" w:cstheme="majorHAnsi"/>
          <w:sz w:val="12"/>
        </w:rPr>
        <w:t>wu</w:t>
      </w:r>
      <w:proofErr w:type="spellEnd"/>
      <w:r w:rsidRPr="00EA1B63">
        <w:rPr>
          <w:rFonts w:asciiTheme="majorHAnsi" w:hAnsiTheme="majorHAnsi" w:cstheme="majorHAnsi"/>
          <w:sz w:val="12"/>
        </w:rPr>
        <w:t xml:space="preserve">-forms that we have discussed in more detail elsewhere,20 </w:t>
      </w:r>
      <w:proofErr w:type="spellStart"/>
      <w:r w:rsidRPr="00EA1B63">
        <w:rPr>
          <w:rStyle w:val="Emphasis"/>
          <w:rFonts w:asciiTheme="majorHAnsi" w:hAnsiTheme="majorHAnsi" w:cstheme="majorHAnsi"/>
          <w:highlight w:val="cyan"/>
        </w:rPr>
        <w:t>wuwei</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"/var/folders/q0/ktrh288572v7czj7pwywn_6c0000gn/T/com.microsoft.Word/WebArchiveCopyPasteTempFiles/page51image65652976"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756C0215" wp14:editId="4B98C7C7">
            <wp:extent cx="340360" cy="155575"/>
            <wp:effectExtent l="0" t="0" r="2540" b="0"/>
            <wp:docPr id="252" name="Picture 252"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often translated (unfortunately) as “no action” or “non-action,” really involves the</w:t>
      </w:r>
      <w:r w:rsidRPr="00EA1B63">
        <w:rPr>
          <w:rStyle w:val="Emphasis"/>
          <w:rFonts w:asciiTheme="majorHAnsi" w:hAnsiTheme="majorHAnsi" w:cstheme="majorHAnsi"/>
          <w:highlight w:val="cyan"/>
        </w:rPr>
        <w:t xml:space="preserve"> absence of any course of action that interferes with </w:t>
      </w:r>
      <w:r w:rsidRPr="00EA1B63">
        <w:rPr>
          <w:rFonts w:asciiTheme="majorHAnsi" w:hAnsiTheme="majorHAnsi" w:cstheme="majorHAnsi"/>
          <w:sz w:val="12"/>
        </w:rPr>
        <w:t xml:space="preserve">the particular focus (de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"/var/folders/q0/ktrh288572v7czj7pwywn_6c0000gn/T/com.microsoft.Word/WebArchiveCopyPasteTempFiles/page51image65653184"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3F3509B7" wp14:editId="70C284F3">
            <wp:extent cx="155575" cy="155575"/>
            <wp:effectExtent l="0" t="0" r="0" b="0"/>
            <wp:docPr id="253" name="Picture 253"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of</w:t>
      </w:r>
      <w:r w:rsidRPr="00EA1B63">
        <w:rPr>
          <w:rStyle w:val="Emphasis"/>
          <w:rFonts w:asciiTheme="majorHAnsi" w:hAnsiTheme="majorHAnsi" w:cstheme="majorHAnsi"/>
          <w:highlight w:val="cyan"/>
        </w:rPr>
        <w:t xml:space="preserve"> those things contained within one’s field of influence</w:t>
      </w:r>
      <w:r w:rsidRPr="00EA1B63">
        <w:rPr>
          <w:rFonts w:asciiTheme="majorHAnsi" w:hAnsiTheme="majorHAnsi" w:cstheme="majorHAnsi"/>
          <w:sz w:val="12"/>
        </w:rPr>
        <w:t xml:space="preserve">. </w:t>
      </w:r>
      <w:r w:rsidRPr="00EA1B63">
        <w:rPr>
          <w:rStyle w:val="Emphasis"/>
          <w:rFonts w:asciiTheme="majorHAnsi" w:hAnsiTheme="majorHAnsi" w:cstheme="majorHAnsi"/>
          <w:highlight w:val="cyan"/>
        </w:rPr>
        <w:t>Actions uncompromised by stored knowledge or ingrained habits</w:t>
      </w:r>
      <w:r w:rsidRPr="00EA1B63">
        <w:rPr>
          <w:rFonts w:asciiTheme="majorHAnsi" w:hAnsiTheme="majorHAnsi" w:cstheme="majorHAnsi"/>
          <w:sz w:val="12"/>
        </w:rPr>
        <w:t xml:space="preserve"> are relatively unmediated: they are accommodating and spontaneous. As such, these actions</w:t>
      </w:r>
      <w:r w:rsidRPr="00EA1B63">
        <w:rPr>
          <w:rStyle w:val="Emphasis"/>
          <w:rFonts w:asciiTheme="majorHAnsi" w:hAnsiTheme="majorHAnsi" w:cstheme="majorHAnsi"/>
          <w:highlight w:val="cyan"/>
        </w:rPr>
        <w:t xml:space="preserve"> are the result of deferential responses to the item or the event in accordance with which</w:t>
      </w:r>
      <w:r w:rsidRPr="00EA1B63">
        <w:rPr>
          <w:rFonts w:asciiTheme="majorHAnsi" w:hAnsiTheme="majorHAnsi" w:cstheme="majorHAnsi"/>
          <w:sz w:val="12"/>
        </w:rPr>
        <w:t>, or in relation to which,</w:t>
      </w:r>
      <w:r w:rsidRPr="00EA1B63">
        <w:rPr>
          <w:rStyle w:val="Emphasis"/>
          <w:rFonts w:asciiTheme="majorHAnsi" w:hAnsiTheme="majorHAnsi" w:cstheme="majorHAnsi"/>
          <w:highlight w:val="cyan"/>
        </w:rPr>
        <w:t xml:space="preserve"> one is acting. </w:t>
      </w:r>
      <w:r w:rsidRPr="00EA1B63">
        <w:rPr>
          <w:rFonts w:asciiTheme="majorHAnsi" w:hAnsiTheme="majorHAnsi" w:cstheme="majorHAnsi"/>
          <w:sz w:val="12"/>
        </w:rPr>
        <w:t xml:space="preserve">These actions are ziran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"/var/folders/q0/ktrh288572v7czj7pwywn_6c0000gn/T/com.microsoft.Word/WebArchiveCopyPasteTempFiles/page51image65653392"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71734573" wp14:editId="6E3C519F">
            <wp:extent cx="301625" cy="155575"/>
            <wp:effectExtent l="0" t="0" r="3175" b="0"/>
            <wp:docPr id="254" name="Picture 254"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“spontaneous” and “self-so-ing,” and as such, are nonassertive actions.</w:t>
      </w:r>
      <w:r w:rsidRPr="00EA1B63">
        <w:rPr>
          <w:rStyle w:val="Emphasis"/>
          <w:rFonts w:asciiTheme="majorHAnsi" w:hAnsiTheme="majorHAnsi" w:cstheme="majorHAnsi"/>
        </w:rPr>
        <w:t xml:space="preserve"> </w:t>
      </w:r>
      <w:r w:rsidRPr="00EA1B63">
        <w:rPr>
          <w:rFonts w:asciiTheme="majorHAnsi" w:hAnsiTheme="majorHAnsi" w:cstheme="majorHAnsi"/>
          <w:sz w:val="12"/>
        </w:rPr>
        <w:t>It is not through an internal struggle of reason against the passions but through “acuity (</w:t>
      </w:r>
      <w:proofErr w:type="spellStart"/>
      <w:r w:rsidRPr="00EA1B63">
        <w:rPr>
          <w:rFonts w:asciiTheme="majorHAnsi" w:hAnsiTheme="majorHAnsi" w:cstheme="majorHAnsi"/>
          <w:sz w:val="12"/>
        </w:rPr>
        <w:t>ming</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"/var/folders/q0/ktrh288572v7czj7pwywn_6c0000gn/T/com.microsoft.Word/WebArchiveCopyPasteTempFiles/page51image65653600"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1B1442EA" wp14:editId="7357D21D">
            <wp:extent cx="155575" cy="155575"/>
            <wp:effectExtent l="0" t="0" r="0" b="0"/>
            <wp:docPr id="255" name="Picture 255"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)”—a mirroring of the things of the world as they are in their interdependent relations with us—that we reach a state in which nothing among all of the myriad of “the goings on” in the world</w:t>
      </w:r>
      <w:r w:rsidRPr="00EA1B63">
        <w:rPr>
          <w:rStyle w:val="Emphasis"/>
          <w:rFonts w:asciiTheme="majorHAnsi" w:hAnsiTheme="majorHAnsi" w:cstheme="majorHAnsi"/>
        </w:rPr>
        <w:t xml:space="preserve"> </w:t>
      </w:r>
      <w:r w:rsidRPr="00EA1B63">
        <w:rPr>
          <w:rFonts w:asciiTheme="majorHAnsi" w:hAnsiTheme="majorHAnsi" w:cstheme="majorHAnsi"/>
          <w:sz w:val="12"/>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A1B63">
        <w:rPr>
          <w:rFonts w:asciiTheme="majorHAnsi" w:hAnsiTheme="majorHAnsi" w:cstheme="majorHAnsi"/>
          <w:sz w:val="12"/>
        </w:rPr>
        <w:t>jing</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"/var/folders/q0/ktrh288572v7czj7pwywn_6c0000gn/T/com.microsoft.Word/WebArchiveCopyPasteTempFiles/page52image65681008"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0B248AD7" wp14:editId="13EF0797">
            <wp:extent cx="155575" cy="155575"/>
            <wp:effectExtent l="0" t="0" r="0" b="0"/>
            <wp:docPr id="256" name="Picture 256"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—stillness, </w:t>
      </w:r>
      <w:proofErr w:type="spellStart"/>
      <w:r w:rsidRPr="00EA1B63">
        <w:rPr>
          <w:rFonts w:asciiTheme="majorHAnsi" w:hAnsiTheme="majorHAnsi" w:cstheme="majorHAnsi"/>
          <w:sz w:val="12"/>
        </w:rPr>
        <w:t>tranquillity</w:t>
      </w:r>
      <w:proofErr w:type="spellEnd"/>
      <w:r w:rsidRPr="00EA1B63">
        <w:rPr>
          <w:rFonts w:asciiTheme="majorHAnsi" w:hAnsiTheme="majorHAnsi" w:cstheme="majorHAnsi"/>
          <w:sz w:val="12"/>
        </w:rPr>
        <w:t xml:space="preserve">—that is often used to characterize this posture, far from being simple passivity, is </w:t>
      </w:r>
      <w:r w:rsidRPr="00EA1B63">
        <w:rPr>
          <w:rStyle w:val="Emphasis"/>
          <w:rFonts w:asciiTheme="majorHAnsi" w:hAnsiTheme="majorHAnsi" w:cstheme="majorHAnsi"/>
          <w:highlight w:val="cyan"/>
        </w:rPr>
        <w:t>an ongoing, dynamic achievement of equilibrium that requires constant monitoring and adjustment</w:t>
      </w:r>
      <w:r w:rsidRPr="00EA1B63">
        <w:rPr>
          <w:rFonts w:asciiTheme="majorHAnsi" w:hAnsiTheme="majorHAnsi" w:cstheme="majorHAnsi"/>
          <w:sz w:val="12"/>
        </w:rPr>
        <w:t xml:space="preserve">. It is important to remember that all correlative pairs entail their opposites in the sense that jing is “tranquillity-becoming-agitated.” Thus, </w:t>
      </w:r>
      <w:proofErr w:type="spellStart"/>
      <w:r w:rsidRPr="00EA1B63">
        <w:rPr>
          <w:rFonts w:asciiTheme="majorHAnsi" w:hAnsiTheme="majorHAnsi" w:cstheme="majorHAnsi"/>
          <w:sz w:val="12"/>
        </w:rPr>
        <w:t>tranquillity</w:t>
      </w:r>
      <w:proofErr w:type="spellEnd"/>
      <w:r w:rsidRPr="00EA1B63">
        <w:rPr>
          <w:rFonts w:asciiTheme="majorHAnsi" w:hAnsiTheme="majorHAnsi" w:cstheme="majorHAnsi"/>
          <w:sz w:val="12"/>
        </w:rPr>
        <w:t xml:space="preserve"> (</w:t>
      </w:r>
      <w:proofErr w:type="spellStart"/>
      <w:r w:rsidRPr="00EA1B63">
        <w:rPr>
          <w:rFonts w:asciiTheme="majorHAnsi" w:hAnsiTheme="majorHAnsi" w:cstheme="majorHAnsi"/>
          <w:sz w:val="12"/>
        </w:rPr>
        <w:t>jing</w:t>
      </w:r>
      <w:proofErr w:type="spellEnd"/>
      <w:r w:rsidRPr="00EA1B63">
        <w:rPr>
          <w:rFonts w:asciiTheme="majorHAnsi" w:hAnsiTheme="majorHAnsi" w:cstheme="majorHAnsi"/>
          <w:sz w:val="12"/>
        </w:rPr>
        <w:t xml:space="preserve">) stands in a dominant relationship in its partnership with agitation (dong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"/var/folders/q0/ktrh288572v7czj7pwywn_6c0000gn/T/com.microsoft.Word/WebArchiveCopyPasteTempFiles/page52image65681216"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5402E925" wp14:editId="0EB7209D">
            <wp:extent cx="155575" cy="155575"/>
            <wp:effectExtent l="0" t="0" r="0" b="0"/>
            <wp:docPr id="257" name="Picture 25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it does not negate or exclude its opposite. The same </w:t>
      </w:r>
      <w:proofErr w:type="spellStart"/>
      <w:r w:rsidRPr="00EA1B63">
        <w:rPr>
          <w:rFonts w:asciiTheme="majorHAnsi" w:hAnsiTheme="majorHAnsi" w:cstheme="majorHAnsi"/>
          <w:sz w:val="12"/>
        </w:rPr>
        <w:t>quali</w:t>
      </w:r>
      <w:proofErr w:type="spellEnd"/>
      <w:r w:rsidRPr="00EA1B63">
        <w:rPr>
          <w:rFonts w:asciiTheme="majorHAnsi" w:hAnsiTheme="majorHAnsi" w:cstheme="majorHAnsi"/>
          <w:sz w:val="12"/>
        </w:rPr>
        <w:pgNum/>
      </w:r>
      <w:proofErr w:type="spellStart"/>
      <w:r w:rsidRPr="00EA1B63">
        <w:rPr>
          <w:rFonts w:asciiTheme="majorHAnsi" w:hAnsiTheme="majorHAnsi" w:cstheme="majorHAnsi"/>
          <w:sz w:val="12"/>
        </w:rPr>
        <w:t>fication</w:t>
      </w:r>
      <w:proofErr w:type="spellEnd"/>
      <w:r w:rsidRPr="00EA1B63">
        <w:rPr>
          <w:rFonts w:asciiTheme="majorHAnsi" w:hAnsiTheme="majorHAnsi" w:cstheme="majorHAnsi"/>
          <w:sz w:val="12"/>
        </w:rPr>
        <w:t xml:space="preserve"> has to be brought to bear on other familiar pairs that might otherwise mislead us: for example, emptiness (xu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"/var/folders/q0/ktrh288572v7czj7pwywn_6c0000gn/T/com.microsoft.Word/WebArchiveCopyPasteTempFiles/page52image65681424"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226AD74B" wp14:editId="77D20AD2">
            <wp:extent cx="165100" cy="155575"/>
            <wp:effectExtent l="0" t="0" r="0" b="0"/>
            <wp:docPr id="258" name="Picture 258"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and fullness (</w:t>
      </w:r>
      <w:proofErr w:type="spellStart"/>
      <w:r w:rsidRPr="00EA1B63">
        <w:rPr>
          <w:rFonts w:asciiTheme="majorHAnsi" w:hAnsiTheme="majorHAnsi" w:cstheme="majorHAnsi"/>
          <w:sz w:val="12"/>
        </w:rPr>
        <w:t>shi</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"/var/folders/q0/ktrh288572v7czj7pwywn_6c0000gn/T/com.microsoft.Word/WebArchiveCopyPasteTempFiles/page52image65681632"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4FF60B6E" wp14:editId="2D215F97">
            <wp:extent cx="155575" cy="155575"/>
            <wp:effectExtent l="0" t="0" r="0" b="0"/>
            <wp:docPr id="259" name="Picture 259"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and clarity (</w:t>
      </w:r>
      <w:proofErr w:type="spellStart"/>
      <w:r w:rsidRPr="00EA1B63">
        <w:rPr>
          <w:rFonts w:asciiTheme="majorHAnsi" w:hAnsiTheme="majorHAnsi" w:cstheme="majorHAnsi"/>
          <w:sz w:val="12"/>
        </w:rPr>
        <w:t>qing</w:t>
      </w:r>
      <w:proofErr w:type="spellEnd"/>
      <w:r w:rsidRPr="00EA1B63">
        <w:rPr>
          <w:rFonts w:asciiTheme="majorHAnsi" w:hAnsiTheme="majorHAnsi" w:cstheme="majorHAnsi"/>
          <w:sz w:val="12"/>
        </w:rPr>
        <w:t xml:space="preserve"> ) and turbidity (</w:t>
      </w:r>
      <w:proofErr w:type="spellStart"/>
      <w:r w:rsidRPr="00EA1B63">
        <w:rPr>
          <w:rFonts w:asciiTheme="majorHAnsi" w:hAnsiTheme="majorHAnsi" w:cstheme="majorHAnsi"/>
          <w:sz w:val="12"/>
        </w:rPr>
        <w:t>zhuo</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"/var/folders/q0/ktrh288572v7czj7pwywn_6c0000gn/T/com.microsoft.Word/WebArchiveCopyPasteTempFiles/page52image65681840"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745CFB85" wp14:editId="2E2A0B16">
            <wp:extent cx="165100" cy="155575"/>
            <wp:effectExtent l="0" t="0" r="0" b="0"/>
            <wp:docPr id="260" name="Picture 260"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 Wuzhi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“acosmotic”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Wuzhi provides one with a sense of the de of a thing— its particular uniqueness and focus— rather than yielding an understanding of that thing in relation to some concept or natural kind or universal. Ultimately, </w:t>
      </w:r>
      <w:proofErr w:type="spellStart"/>
      <w:r w:rsidRPr="00EA1B63">
        <w:rPr>
          <w:rFonts w:asciiTheme="majorHAnsi" w:hAnsiTheme="majorHAnsi" w:cstheme="majorHAnsi"/>
          <w:sz w:val="12"/>
        </w:rPr>
        <w:t>wuzhi</w:t>
      </w:r>
      <w:proofErr w:type="spellEnd"/>
      <w:r w:rsidRPr="00EA1B63">
        <w:rPr>
          <w:rFonts w:asciiTheme="majorHAnsi" w:hAnsiTheme="majorHAnsi" w:cstheme="majorHAnsi"/>
          <w:sz w:val="12"/>
        </w:rPr>
        <w:t xml:space="preserve"> is a grasp of the </w:t>
      </w:r>
      <w:proofErr w:type="spellStart"/>
      <w:r w:rsidRPr="00EA1B63">
        <w:rPr>
          <w:rFonts w:asciiTheme="majorHAnsi" w:hAnsiTheme="majorHAnsi" w:cstheme="majorHAnsi"/>
          <w:sz w:val="12"/>
        </w:rPr>
        <w:t>daode</w:t>
      </w:r>
      <w:proofErr w:type="spellEnd"/>
      <w:r w:rsidRPr="00EA1B63">
        <w:rPr>
          <w:rFonts w:asciiTheme="majorHAnsi" w:hAnsiTheme="majorHAnsi" w:cstheme="majorHAnsi"/>
          <w:sz w:val="12"/>
        </w:rPr>
        <w:t xml:space="preserve"> </w:t>
      </w:r>
      <w:r w:rsidRPr="00EA1B63">
        <w:rPr>
          <w:rFonts w:asciiTheme="majorHAnsi" w:hAnsiTheme="majorHAnsi" w:cstheme="majorHAnsi"/>
          <w:sz w:val="12"/>
        </w:rPr>
        <w:fldChar w:fldCharType="begin"/>
      </w:r>
      <w:r w:rsidRPr="00EA1B63">
        <w:rPr>
          <w:rFonts w:asciiTheme="majorHAnsi" w:hAnsiTheme="majorHAnsi" w:cstheme="majorHAnsi"/>
          <w:sz w:val="12"/>
        </w:rPr>
        <w:instrText xml:space="preserve"> INCLUDEPICTURE "/var/folders/q0/ktrh288572v7czj7pwywn_6c0000gn/T/com.microsoft.Word/WebArchiveCopyPasteTempFiles/page52image65682048" \* MERGEFORMATINET </w:instrText>
      </w:r>
      <w:r w:rsidRPr="00EA1B63">
        <w:rPr>
          <w:rFonts w:asciiTheme="majorHAnsi" w:hAnsiTheme="majorHAnsi" w:cstheme="majorHAnsi"/>
          <w:sz w:val="12"/>
        </w:rPr>
        <w:fldChar w:fldCharType="separate"/>
      </w:r>
      <w:r w:rsidRPr="00EA1B63">
        <w:rPr>
          <w:rFonts w:asciiTheme="majorHAnsi" w:hAnsiTheme="majorHAnsi" w:cstheme="majorHAnsi"/>
          <w:noProof/>
          <w:sz w:val="12"/>
        </w:rPr>
        <w:drawing>
          <wp:inline distT="0" distB="0" distL="0" distR="0" wp14:anchorId="1DF828E1" wp14:editId="54450A11">
            <wp:extent cx="340360" cy="155575"/>
            <wp:effectExtent l="0" t="0" r="2540" b="0"/>
            <wp:docPr id="261" name="Picture 261"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2"/>
        </w:rPr>
        <w:fldChar w:fldCharType="end"/>
      </w:r>
      <w:r w:rsidRPr="00EA1B63">
        <w:rPr>
          <w:rFonts w:asciiTheme="majorHAnsi" w:hAnsiTheme="majorHAnsi" w:cstheme="majorHAnsi"/>
          <w:sz w:val="12"/>
        </w:rPr>
        <w:t xml:space="preserve">relationship of each encountered item that permits an understanding of this particular focus (de) and the eld that it construes. Knowledge, as unprincipled knowing, </w:t>
      </w:r>
      <w:r w:rsidRPr="00EA1B63">
        <w:rPr>
          <w:rFonts w:asciiTheme="majorHAnsi" w:hAnsiTheme="majorHAnsi" w:cstheme="majorHAnsi"/>
          <w:sz w:val="12"/>
        </w:rPr>
        <w:lastRenderedPageBreak/>
        <w:t xml:space="preserve">is the acceptance of the world on its own terms without recourse to rules of discrimination that separate one sort of thing from another. Rules of thumb, habits of mind and action, established customs, fixed standards, received </w:t>
      </w:r>
    </w:p>
    <w:p w14:paraId="61939810" w14:textId="15B88ECB" w:rsidR="00B23C39" w:rsidRPr="00EA1B63" w:rsidRDefault="00360CA9" w:rsidP="00B23C39">
      <w:pPr>
        <w:pStyle w:val="Heading4"/>
        <w:rPr>
          <w:rFonts w:asciiTheme="majorHAnsi" w:hAnsiTheme="majorHAnsi" w:cstheme="majorHAnsi"/>
        </w:rPr>
      </w:pPr>
      <w:r w:rsidRPr="00EA1B63">
        <w:rPr>
          <w:rFonts w:asciiTheme="majorHAnsi" w:hAnsiTheme="majorHAnsi" w:cstheme="majorHAnsi"/>
        </w:rPr>
        <w:t>Thus the plan: The member nations of the World Trade Organization should ad</w:t>
      </w:r>
      <w:r w:rsidR="00EE4391" w:rsidRPr="00EA1B63">
        <w:rPr>
          <w:rFonts w:asciiTheme="majorHAnsi" w:hAnsiTheme="majorHAnsi" w:cstheme="majorHAnsi"/>
        </w:rPr>
        <w:t>o</w:t>
      </w:r>
      <w:r w:rsidRPr="00EA1B63">
        <w:rPr>
          <w:rFonts w:asciiTheme="majorHAnsi" w:hAnsiTheme="majorHAnsi" w:cstheme="majorHAnsi"/>
        </w:rPr>
        <w:t>pt a deterritorialized form of possession and a nomadic property model with respect to medicines</w:t>
      </w:r>
      <w:r w:rsidR="00941E27" w:rsidRPr="00EA1B63">
        <w:rPr>
          <w:rFonts w:asciiTheme="majorHAnsi" w:hAnsiTheme="majorHAnsi" w:cstheme="majorHAnsi"/>
        </w:rPr>
        <w:t xml:space="preserve"> to create a commons, where Daoist models of creativity and ownership can thrive</w:t>
      </w:r>
      <w:r w:rsidRPr="00EA1B63">
        <w:rPr>
          <w:rFonts w:asciiTheme="majorHAnsi" w:hAnsiTheme="majorHAnsi" w:cstheme="majorHAnsi"/>
        </w:rPr>
        <w:t>.</w:t>
      </w:r>
    </w:p>
    <w:p w14:paraId="35477CF6" w14:textId="77777777" w:rsidR="004B042E" w:rsidRPr="00EA1B63" w:rsidRDefault="004B042E" w:rsidP="004B042E">
      <w:pPr>
        <w:rPr>
          <w:rFonts w:asciiTheme="majorHAnsi" w:hAnsiTheme="majorHAnsi" w:cstheme="majorHAnsi"/>
        </w:rPr>
      </w:pPr>
      <w:r w:rsidRPr="00EA1B63">
        <w:rPr>
          <w:rStyle w:val="Style13ptBold"/>
          <w:rFonts w:asciiTheme="majorHAnsi" w:hAnsiTheme="majorHAnsi" w:cstheme="majorHAnsi"/>
        </w:rPr>
        <w:t>Bruncevic 15</w:t>
      </w:r>
      <w:r w:rsidRPr="00EA1B63">
        <w:rPr>
          <w:rFonts w:asciiTheme="majorHAnsi" w:hAnsiTheme="majorHAnsi" w:cstheme="majorHAnsi"/>
        </w:rPr>
        <w:t>, Merima Bruncevic, We Need to Talk About the Cultural Commons: Some</w:t>
      </w:r>
    </w:p>
    <w:p w14:paraId="66E22DB3" w14:textId="2F1753F2" w:rsidR="004B042E" w:rsidRPr="00EA1B63" w:rsidRDefault="004B042E" w:rsidP="004B042E">
      <w:pPr>
        <w:rPr>
          <w:rFonts w:asciiTheme="majorHAnsi" w:hAnsiTheme="majorHAnsi" w:cstheme="majorHAnsi"/>
        </w:rPr>
      </w:pPr>
      <w:r w:rsidRPr="00EA1B63">
        <w:rPr>
          <w:rFonts w:asciiTheme="majorHAnsi" w:hAnsiTheme="majorHAnsi" w:cstheme="majorHAnsi"/>
        </w:rPr>
        <w:t>Musings on Rhizomatic Jurisprudence and Access to Art,</w:t>
      </w:r>
      <w:r w:rsidR="00B23C39" w:rsidRPr="00EA1B63">
        <w:rPr>
          <w:rFonts w:asciiTheme="majorHAnsi" w:hAnsiTheme="majorHAnsi" w:cstheme="majorHAnsi"/>
        </w:rPr>
        <w:t xml:space="preserve"> DOA: 10/5/21, xx/xx/15, </w:t>
      </w:r>
      <w:r w:rsidRPr="00EA1B63">
        <w:rPr>
          <w:rFonts w:asciiTheme="majorHAnsi" w:hAnsiTheme="majorHAnsi" w:cstheme="majorHAnsi"/>
        </w:rPr>
        <w:t xml:space="preserve"> </w:t>
      </w:r>
      <w:r w:rsidR="00B23C39" w:rsidRPr="00EA1B63">
        <w:rPr>
          <w:rFonts w:asciiTheme="majorHAnsi" w:hAnsiTheme="majorHAnsi" w:cstheme="majorHAnsi"/>
        </w:rPr>
        <w:t>(Merima Bruncevic, LLD is a writer, researcher and senior Lecturer in Legal Philosophy and Intellectual Property Law at the Department of Law, School of Business, Economics and Law, University of Gothenburg. She earned an LLD in Jurisprudence from the University of Gothenburg in June 2014 and an LLM in Entertainment Law from University of Westminster, London in 2005. She is based in Gothenburg, Sweden, but has previously studied, lived and worked in London, UK for over six years. She has also worked as a researcher at Universita Degli Studi Roma Tre in Rome, Italy.), I have a pdf, r0w@n</w:t>
      </w:r>
    </w:p>
    <w:p w14:paraId="654241C6" w14:textId="3C50181D" w:rsidR="00941E27" w:rsidRPr="00EA1B63" w:rsidRDefault="00FA0705" w:rsidP="00CF204C">
      <w:pPr>
        <w:rPr>
          <w:rFonts w:asciiTheme="majorHAnsi" w:hAnsiTheme="majorHAnsi" w:cstheme="majorHAnsi"/>
          <w:sz w:val="14"/>
        </w:rPr>
      </w:pPr>
      <w:r w:rsidRPr="00EA1B63">
        <w:rPr>
          <w:rFonts w:asciiTheme="majorHAnsi" w:hAnsiTheme="majorHAnsi" w:cstheme="majorHAnsi"/>
          <w:sz w:val="14"/>
        </w:rPr>
        <w:t xml:space="preserve">formulated legally, with e.g. some inspiration from the Scandinavian allemansrätten. In this manner, as we shall see shortly, the principles of the rhizome do not dissolve but rather resolve the dichotomies so that a constellation based concept can be formulated legally, one that can tend to several different interests at the same time. Therefore, jurisprudence may have rhizomatic qualities. The concept of allemansrätten is a prefect example of the rhizomatics of law, where the idea of the public and the private can co-exist and not necessarily form a hostile opposite. The concept of the cultural commons can thus be moved away from the prisoner’s dilemma setting, from the tragedy of the commons, from being understood as paradoxical in terms of the private and public, or as only belonging to the extra-legal, political, sociological, or economical realms. The rhizome theory attracts legal attention as it disrupts the need for a distinction between Merima Bruncevic 123 an inside and an outside of law, of describing public and private as each other’s opposites, and it provides a legal alternative beyond the notion of ownership and access as each other’s antitheses. The cultural commons and the Deleuzeoguattarian forms of possession The models of possession developed by Deleuze and Guattari, within the setting of the rhizomatic theory, can potentially handle a concept that is a constellation of private and public. These two models of possession are the sedentary model and the nomadic model respectively. Deleuze and Guattari </w:t>
      </w:r>
      <w:r w:rsidRPr="00EA1B63">
        <w:rPr>
          <w:rStyle w:val="Emphasis"/>
          <w:rFonts w:asciiTheme="majorHAnsi" w:hAnsiTheme="majorHAnsi" w:cstheme="majorHAnsi"/>
          <w:highlight w:val="cyan"/>
        </w:rPr>
        <w:t xml:space="preserve">distinguish the two forms of possession </w:t>
      </w:r>
      <w:r w:rsidRPr="00EA1B63">
        <w:rPr>
          <w:rFonts w:asciiTheme="majorHAnsi" w:hAnsiTheme="majorHAnsi" w:cstheme="majorHAnsi"/>
          <w:sz w:val="14"/>
        </w:rPr>
        <w:t>by claiming that</w:t>
      </w:r>
      <w:r w:rsidRPr="00EA1B63">
        <w:rPr>
          <w:rStyle w:val="Emphasis"/>
          <w:rFonts w:asciiTheme="majorHAnsi" w:hAnsiTheme="majorHAnsi" w:cstheme="majorHAnsi"/>
          <w:highlight w:val="cyan"/>
        </w:rPr>
        <w:t xml:space="preserve"> the first is territorialised </w:t>
      </w:r>
      <w:r w:rsidRPr="00EA1B63">
        <w:rPr>
          <w:rFonts w:asciiTheme="majorHAnsi" w:hAnsiTheme="majorHAnsi" w:cstheme="majorHAnsi"/>
          <w:sz w:val="14"/>
        </w:rPr>
        <w:t>(i.e.</w:t>
      </w:r>
      <w:r w:rsidRPr="00EA1B63">
        <w:rPr>
          <w:rStyle w:val="Emphasis"/>
          <w:rFonts w:asciiTheme="majorHAnsi" w:hAnsiTheme="majorHAnsi" w:cstheme="majorHAnsi"/>
          <w:highlight w:val="cyan"/>
        </w:rPr>
        <w:t xml:space="preserve"> within a </w:t>
      </w:r>
      <w:r w:rsidRPr="00EA1B63">
        <w:rPr>
          <w:rFonts w:asciiTheme="majorHAnsi" w:hAnsiTheme="majorHAnsi" w:cstheme="majorHAnsi"/>
          <w:sz w:val="14"/>
        </w:rPr>
        <w:t>known</w:t>
      </w:r>
      <w:r w:rsidRPr="00EA1B63">
        <w:rPr>
          <w:rStyle w:val="Emphasis"/>
          <w:rFonts w:asciiTheme="majorHAnsi" w:hAnsiTheme="majorHAnsi" w:cstheme="majorHAnsi"/>
          <w:highlight w:val="cyan"/>
        </w:rPr>
        <w:t xml:space="preserve"> economical form of production </w:t>
      </w:r>
      <w:r w:rsidRPr="00EA1B63">
        <w:rPr>
          <w:rFonts w:asciiTheme="majorHAnsi" w:hAnsiTheme="majorHAnsi" w:cstheme="majorHAnsi"/>
          <w:sz w:val="14"/>
        </w:rPr>
        <w:t xml:space="preserve">and within a territorially defined legal order) and that </w:t>
      </w:r>
      <w:r w:rsidRPr="00EA1B63">
        <w:rPr>
          <w:rStyle w:val="Emphasis"/>
          <w:rFonts w:asciiTheme="majorHAnsi" w:hAnsiTheme="majorHAnsi" w:cstheme="majorHAnsi"/>
          <w:highlight w:val="cyan"/>
        </w:rPr>
        <w:t xml:space="preserve">the second is deterritorialised </w:t>
      </w:r>
      <w:r w:rsidRPr="00EA1B63">
        <w:rPr>
          <w:rFonts w:asciiTheme="majorHAnsi" w:hAnsiTheme="majorHAnsi" w:cstheme="majorHAnsi"/>
          <w:sz w:val="14"/>
        </w:rPr>
        <w:t>(i.e. the one that</w:t>
      </w:r>
      <w:r w:rsidRPr="00EA1B63">
        <w:rPr>
          <w:rStyle w:val="Emphasis"/>
          <w:rFonts w:asciiTheme="majorHAnsi" w:hAnsiTheme="majorHAnsi" w:cstheme="majorHAnsi"/>
          <w:highlight w:val="cyan"/>
        </w:rPr>
        <w:t xml:space="preserve"> emerges from new modes of production, with </w:t>
      </w:r>
      <w:r w:rsidRPr="00EA1B63">
        <w:rPr>
          <w:rFonts w:asciiTheme="majorHAnsi" w:hAnsiTheme="majorHAnsi" w:cstheme="majorHAnsi"/>
          <w:sz w:val="14"/>
        </w:rPr>
        <w:t xml:space="preserve">e.g. </w:t>
      </w:r>
      <w:r w:rsidRPr="00EA1B63">
        <w:rPr>
          <w:rStyle w:val="Emphasis"/>
          <w:rFonts w:asciiTheme="majorHAnsi" w:hAnsiTheme="majorHAnsi" w:cstheme="majorHAnsi"/>
          <w:highlight w:val="cyan"/>
        </w:rPr>
        <w:t xml:space="preserve">new technology, new laws, new forms of management, the one that cannot instantly be recognised </w:t>
      </w:r>
      <w:r w:rsidRPr="00EA1B63">
        <w:rPr>
          <w:rFonts w:asciiTheme="majorHAnsi" w:hAnsiTheme="majorHAnsi" w:cstheme="majorHAnsi"/>
          <w:sz w:val="14"/>
        </w:rPr>
        <w:t>by any one readymade economical or legal principle only). The sedentary model is for instance dependent of stable forms of regulation, of defined territories and jurisdictions. This sedentary model presupposes enclosure or exclusivity; in order to possess material property the object has to be enclosed and governed by individual property rights. If the object of possession is immaterial it has to be enclosed conceptually by e.g. individual rights and exclusivity principles, for instance intellectual property law. Contrary to the focus on enclosure and exclusivity that are both tightly connected to the sedentary model,</w:t>
      </w:r>
      <w:r w:rsidRPr="00EA1B63">
        <w:rPr>
          <w:rStyle w:val="Emphasis"/>
          <w:rFonts w:asciiTheme="majorHAnsi" w:hAnsiTheme="majorHAnsi" w:cstheme="majorHAnsi"/>
          <w:highlight w:val="cyan"/>
        </w:rPr>
        <w:t xml:space="preserve"> the nomadic model does not imply any </w:t>
      </w:r>
      <w:r w:rsidRPr="00EA1B63">
        <w:rPr>
          <w:rFonts w:asciiTheme="majorHAnsi" w:hAnsiTheme="majorHAnsi" w:cstheme="majorHAnsi"/>
          <w:sz w:val="14"/>
        </w:rPr>
        <w:t>such</w:t>
      </w:r>
      <w:r w:rsidRPr="00EA1B63">
        <w:rPr>
          <w:rStyle w:val="Emphasis"/>
          <w:rFonts w:asciiTheme="majorHAnsi" w:hAnsiTheme="majorHAnsi" w:cstheme="majorHAnsi"/>
          <w:highlight w:val="cyan"/>
        </w:rPr>
        <w:t xml:space="preserve"> exclusion or stable territory-based possession </w:t>
      </w:r>
      <w:r w:rsidRPr="00EA1B63">
        <w:rPr>
          <w:rFonts w:asciiTheme="majorHAnsi" w:hAnsiTheme="majorHAnsi" w:cstheme="majorHAnsi"/>
          <w:sz w:val="14"/>
        </w:rPr>
        <w:t>(Mussawir 2011:107). Under the nomadic model, Mussawir writes, “</w:t>
      </w:r>
      <w:r w:rsidRPr="00EA1B63">
        <w:rPr>
          <w:rStyle w:val="Emphasis"/>
          <w:rFonts w:asciiTheme="majorHAnsi" w:hAnsiTheme="majorHAnsi" w:cstheme="majorHAnsi"/>
          <w:highlight w:val="cyan"/>
        </w:rPr>
        <w:t xml:space="preserve">possession implies a </w:t>
      </w:r>
      <w:r w:rsidRPr="00EA1B63">
        <w:rPr>
          <w:rFonts w:asciiTheme="majorHAnsi" w:hAnsiTheme="majorHAnsi" w:cstheme="majorHAnsi"/>
          <w:sz w:val="14"/>
        </w:rPr>
        <w:t>different</w:t>
      </w:r>
      <w:r w:rsidRPr="00EA1B63">
        <w:rPr>
          <w:rStyle w:val="Emphasis"/>
          <w:rFonts w:asciiTheme="majorHAnsi" w:hAnsiTheme="majorHAnsi" w:cstheme="majorHAnsi"/>
          <w:highlight w:val="cyan"/>
        </w:rPr>
        <w:t xml:space="preserve"> kind of relation that cannot sustain any </w:t>
      </w:r>
      <w:r w:rsidRPr="00EA1B63">
        <w:rPr>
          <w:rFonts w:asciiTheme="majorHAnsi" w:hAnsiTheme="majorHAnsi" w:cstheme="majorHAnsi"/>
          <w:sz w:val="14"/>
        </w:rPr>
        <w:t xml:space="preserve">of these </w:t>
      </w:r>
      <w:r w:rsidRPr="00EA1B63">
        <w:rPr>
          <w:rStyle w:val="Emphasis"/>
          <w:rFonts w:asciiTheme="majorHAnsi" w:hAnsiTheme="majorHAnsi" w:cstheme="majorHAnsi"/>
          <w:highlight w:val="cyan"/>
        </w:rPr>
        <w:t xml:space="preserve">elements of establishment, exclusion and lack. </w:t>
      </w:r>
      <w:r w:rsidRPr="00EA1B63">
        <w:rPr>
          <w:rFonts w:asciiTheme="majorHAnsi" w:hAnsiTheme="majorHAnsi" w:cstheme="majorHAnsi"/>
          <w:sz w:val="14"/>
        </w:rPr>
        <w:t xml:space="preserve">Since possession does not imply division, exclusions or stable territory, [it] requires other factors altogether” (Mussawir 2011:107). The sedentary form of possession is dependent on the possibility to divide and exclude – it requires a striated space, a territorialised legal order. </w:t>
      </w:r>
      <w:r w:rsidRPr="00EA1B63">
        <w:rPr>
          <w:rStyle w:val="Emphasis"/>
          <w:rFonts w:asciiTheme="majorHAnsi" w:hAnsiTheme="majorHAnsi" w:cstheme="majorHAnsi"/>
          <w:highlight w:val="cyan"/>
        </w:rPr>
        <w:t>The nomadic form of possession challenges the notions of division, exclusivity, territoriality and enclosure, it is a smooth space, not</w:t>
      </w:r>
      <w:r w:rsidRPr="00EA1B63">
        <w:rPr>
          <w:rFonts w:asciiTheme="majorHAnsi" w:hAnsiTheme="majorHAnsi" w:cstheme="majorHAnsi"/>
          <w:sz w:val="14"/>
        </w:rPr>
        <w:t xml:space="preserve"> (yet) territorialised </w:t>
      </w:r>
      <w:r w:rsidRPr="00EA1B63">
        <w:rPr>
          <w:rStyle w:val="Emphasis"/>
          <w:rFonts w:asciiTheme="majorHAnsi" w:hAnsiTheme="majorHAnsi" w:cstheme="majorHAnsi"/>
          <w:highlight w:val="cyan"/>
        </w:rPr>
        <w:t>by the legal order</w:t>
      </w:r>
      <w:r w:rsidRPr="00EA1B63">
        <w:rPr>
          <w:rFonts w:asciiTheme="majorHAnsi" w:hAnsiTheme="majorHAnsi" w:cstheme="majorHAnsi"/>
          <w:sz w:val="14"/>
        </w:rPr>
        <w:t xml:space="preserve">. However, when Deleuze and Guattari discuss the nomadic forms of possession they do not present it as the opposite of the sedentary form. They write: “[W]e must remind ourselves that the two spaces in fact exist only in mixture: smooth space is constantly being translated, transversed into striated space; striated space is constantly being reversed, returned to 124 Naveiñ Reet: Nordic Journal of Law and Social Research (NNJLSR) No.6 2015 smooth space [….] and the two can happen simultaneously.” (Deleuze &amp; Guattari 2011: 524) It is this very continuity, the constant movement from one form to another, the unfinished transitions from the one form to the other, that must be understood and it is imperative that it be kept in mind when discussing the concept of the commons (natural as well as cultural). The concept of the (again, natural as well as cultural) commons can never be approached as a static, or striated, legal concept or form of possession. </w:t>
      </w:r>
      <w:r w:rsidRPr="00EA1B63">
        <w:rPr>
          <w:rStyle w:val="Emphasis"/>
          <w:rFonts w:asciiTheme="majorHAnsi" w:hAnsiTheme="majorHAnsi" w:cstheme="majorHAnsi"/>
          <w:highlight w:val="cyan"/>
        </w:rPr>
        <w:t xml:space="preserve">The concept of the commons must be understood as a deterritorialising, nomadic legal form of </w:t>
      </w:r>
      <w:r w:rsidRPr="00EA1B63">
        <w:rPr>
          <w:rStyle w:val="Emphasis"/>
          <w:rFonts w:asciiTheme="majorHAnsi" w:hAnsiTheme="majorHAnsi" w:cstheme="majorHAnsi"/>
          <w:highlight w:val="cyan"/>
        </w:rPr>
        <w:lastRenderedPageBreak/>
        <w:t>possession</w:t>
      </w:r>
      <w:r w:rsidRPr="00EA1B63">
        <w:rPr>
          <w:rFonts w:asciiTheme="majorHAnsi" w:hAnsiTheme="majorHAnsi" w:cstheme="majorHAnsi"/>
          <w:sz w:val="14"/>
        </w:rPr>
        <w:t>. However hard we might try, it is still for instance very difficult to territorially govern or enclose digital and dematerialised, cultural forms of expressions. Within the Deleuzeoguattarian theory, possession cannot be equated to ‘ownership’ either, at least not ‘ownership’ as we have come to know it. Rather, the modes of possession indicate that to possess does not necessarily equate ‘to own’. As Leif Dahlberg argues with reference to digital media content and Roman Law: “[T]he concept of property is complex, and possession (possessio, occupatio, usucapio, or detentio), for example, does not automatically or necessarily lead to an exclusive and absolute ownership (dominium). Whereas in ancient Rome this distinction between possession and ownership generally applied to property in land, today it also bears on the ways in which media users may use the digital media content they have acquired or purchased.” (Dahlberg 2011:264) The concept of the cultural commons may appear to be as a ‘the opposite of private’ or as an equal to ‘public’ form of possession. But it is not. It is a moving, iterant nomadic form of possession. When Lawrence Lessig for instance comments on the cultural commons he claims the key issue is that commons are producing something of value. This value can be a resource e.g. in terms of decentralised or open innovation</w:t>
      </w:r>
      <w:r w:rsidRPr="00EA1B63">
        <w:rPr>
          <w:rStyle w:val="Emphasis"/>
          <w:rFonts w:asciiTheme="majorHAnsi" w:hAnsiTheme="majorHAnsi" w:cstheme="majorHAnsi"/>
        </w:rPr>
        <w:t xml:space="preserve"> </w:t>
      </w:r>
      <w:r w:rsidRPr="00EA1B63">
        <w:rPr>
          <w:rFonts w:asciiTheme="majorHAnsi" w:hAnsiTheme="majorHAnsi" w:cstheme="majorHAnsi"/>
          <w:sz w:val="14"/>
        </w:rPr>
        <w:t xml:space="preserve">(Lessig 2001: 85). He argues further: </w:t>
      </w:r>
      <w:r w:rsidRPr="00EA1B63">
        <w:rPr>
          <w:rStyle w:val="Emphasis"/>
          <w:rFonts w:asciiTheme="majorHAnsi" w:hAnsiTheme="majorHAnsi" w:cstheme="majorHAnsi"/>
          <w:highlight w:val="cyan"/>
        </w:rPr>
        <w:t>“[Commons] create the opportunity for individuals to draw upon resources without connections, permission, or access granted by others. They are environments that commit themselves to being open. Individuals and corporations draw upon the value created by this openness. They transform that value into other value, which they then consume privately</w:t>
      </w:r>
      <w:r w:rsidRPr="00EA1B63">
        <w:rPr>
          <w:rFonts w:asciiTheme="majorHAnsi" w:hAnsiTheme="majorHAnsi" w:cstheme="majorHAnsi"/>
          <w:sz w:val="14"/>
        </w:rPr>
        <w:t>.” (Lessig 2011:85) Merima Bruncevic 125 An environment in which the open access and the private exploitation and consumption do not cancel each other out is precisely the rhizomatic quality of the Deleuzeoguattarian forms of possession that we need, one that opens the theoretical possibility of envisioning and formulating a legal concept where the two can be connected instead of presented as a false dichotomy. As such, it does not dissolve the dichotomies such as private and public, they remain separate. However, it resolves them, from being antagonistic opposite-based pairings, instead becoming an alliance in a rhizomatic concept within the nomadic form of possession. A legal concept of the cultural commons as a “cultural allemansrätt” – a possibility As we saw above, allemansrätten in nature comes with responsibilities in terms of the privacy and ownership; and the person who is given the right to access nature is also simultaneously given an obligation not to harm, disturb, litter, nor to damage the land, its resources, biospheres, the animals or the crops. When we finally arrive at allemansrätten in culture, it too must come with similar set of limitations, obligations and responsibilities, i.e. to not harm the underlying individual ownership right and the resources connected to it. A right that allows the public to, during a short term and under certain conditions, legally access the cultural landscapes and, current and future as well as older or even ancient, cultural heritage. This can be done through a legal constellation that focuses on sustainability of cultural heritage, both the heritage that has existed for centuries as well as the one that is coming into existence now and that is constantly being produced. The rhizomatic approach to legal reasoning opens up the possibility to conceive of such concepts that can handle the public and the private together as an alliance in law. The sedentary and nomadic forms of possession indicate that there is a sliding scale between ownership, possession and access, and this can be upheld and recognised legally in a concept of cultural commons. Enabling access to artworks through a legal concept of the cultural commons works thus in conjunction with current intellectual property and other private ownership laws. A lot of inspiration can be drawn from the institutions that are already somehow managed and governed as cultural commons such as our museums, libraries, archives, open access platforms, commons initiatives... They also show us that principles of free public access do not necessarily preclude profit. 126 Naveiñ Reet: Nordic Journal of Law and Social Research (NNJLSR) No.6 2015 Access to art through a cultural commons is the equivalent of the hiking, camping and the picking of berries in the cultural environment. The notion of “environment” is also what further enables the connection with the natural commons and allemansrätten to be made even more comfortably. It has to do with the public’s cultural health and wellbeing. It certainly has to do with democracy. This approach is both an economically and democratically sustainable management of our common cultural resources. The rationale of this article has been this, to present some musings on the possibilities in terms of rights to access that can be inscribed in law through a legal concept of the cultural commons. This potential is already there in many of our legal orders. I have presented allemansrätten as one such example. UNESCOs regulation of world heritage may be another. A commons-based access, as has been argued here, is capable of handling the private and the public simultaneously. In critical legal studies the constructivist approaches to legal concepts are sometimes frowned upon, the critical is often favoured over the clinical. The Deleuzeoguattarian approach to legal philosophy allows for an alliance between the critical and the clinical. This is one among many connections that is enabled by the rhizomatic approach. This is rhizomatic jurisprudence. But the clinical presented here is only the beginning of this ongoing approach. The next step is to go ahead and construct the legal concept of the cultural commons, one that can handle access to current as well as to ancient cultural heritage. It could maybe be formulated as the “cultural allemansrätten”, or as a principle that is inscribed in the national laws of Europe? Or maybe as an EU directive? Or maybe… To achieve that, we have to acknowledge the possibilities of law and we now not only need to, we have to, talk about the legal concept of the cultural commons.</w:t>
      </w:r>
    </w:p>
    <w:p w14:paraId="415094F0" w14:textId="77777777" w:rsidR="00941E27" w:rsidRPr="00EA1B63" w:rsidRDefault="00941E27" w:rsidP="00FA0705">
      <w:pPr>
        <w:rPr>
          <w:rFonts w:asciiTheme="majorHAnsi" w:hAnsiTheme="majorHAnsi" w:cstheme="majorHAnsi"/>
          <w:sz w:val="14"/>
        </w:rPr>
      </w:pPr>
    </w:p>
    <w:p w14:paraId="33C233A8" w14:textId="1793842C" w:rsidR="004B35E1" w:rsidRPr="00EA1B63" w:rsidRDefault="00941E27" w:rsidP="004B35E1">
      <w:pPr>
        <w:pStyle w:val="Heading4"/>
        <w:rPr>
          <w:rFonts w:asciiTheme="majorHAnsi" w:hAnsiTheme="majorHAnsi" w:cstheme="majorHAnsi"/>
        </w:rPr>
      </w:pPr>
      <w:r w:rsidRPr="00EA1B63">
        <w:rPr>
          <w:rFonts w:asciiTheme="majorHAnsi" w:hAnsiTheme="majorHAnsi" w:cstheme="majorHAnsi"/>
        </w:rPr>
        <w:t xml:space="preserve">AND the commons fosters a sense of wuyu- </w:t>
      </w:r>
      <w:r w:rsidR="004B35E1" w:rsidRPr="00EA1B63">
        <w:rPr>
          <w:rFonts w:asciiTheme="majorHAnsi" w:hAnsiTheme="majorHAnsi" w:cstheme="majorHAnsi"/>
        </w:rPr>
        <w:t>reforming processes of ‘owning’ and ‘</w:t>
      </w:r>
      <w:r w:rsidRPr="00EA1B63">
        <w:rPr>
          <w:rFonts w:asciiTheme="majorHAnsi" w:hAnsiTheme="majorHAnsi" w:cstheme="majorHAnsi"/>
        </w:rPr>
        <w:t>creating</w:t>
      </w:r>
      <w:r w:rsidR="004B35E1" w:rsidRPr="00EA1B63">
        <w:rPr>
          <w:rFonts w:asciiTheme="majorHAnsi" w:hAnsiTheme="majorHAnsi" w:cstheme="majorHAnsi"/>
        </w:rPr>
        <w:t>’- these things shouldn’t be motivated by temporal desires but rather by intrinsic ones.</w:t>
      </w:r>
    </w:p>
    <w:p w14:paraId="3C44912B" w14:textId="77777777" w:rsidR="004B35E1" w:rsidRPr="00EA1B63" w:rsidRDefault="004B35E1" w:rsidP="004B35E1">
      <w:pPr>
        <w:rPr>
          <w:rFonts w:asciiTheme="majorHAnsi" w:hAnsiTheme="majorHAnsi" w:cstheme="majorHAnsi"/>
        </w:rPr>
      </w:pPr>
      <w:r w:rsidRPr="00EA1B63">
        <w:rPr>
          <w:rStyle w:val="Style13ptBold"/>
          <w:rFonts w:asciiTheme="majorHAnsi" w:hAnsiTheme="majorHAnsi" w:cstheme="majorHAnsi"/>
        </w:rPr>
        <w:t xml:space="preserve">Ames and Hall 10. </w:t>
      </w:r>
      <w:r w:rsidRPr="00EA1B63">
        <w:rPr>
          <w:rFonts w:asciiTheme="majorHAnsi" w:hAnsiTheme="majorHAnsi" w:cstheme="majorHAnsi"/>
        </w:rPr>
        <w:t xml:space="preserve">Roger Ames and David Hall (Ames is a Canadian philosopher at the University of Peking. Hall was a professor of philosophy at the University of Texas), 2010, “Daodejing: Making this Life Significant,” Ballantine Books, I have a pdf, r0w@n </w:t>
      </w:r>
    </w:p>
    <w:p w14:paraId="2D81EFFF" w14:textId="4AC80FF2" w:rsidR="004B35E1" w:rsidRPr="00EA1B63" w:rsidRDefault="004B35E1" w:rsidP="004B35E1">
      <w:pPr>
        <w:rPr>
          <w:rFonts w:asciiTheme="majorHAnsi" w:hAnsiTheme="majorHAnsi" w:cstheme="majorHAnsi"/>
          <w:sz w:val="10"/>
        </w:rPr>
      </w:pPr>
      <w:r w:rsidRPr="00EA1B63">
        <w:rPr>
          <w:rFonts w:asciiTheme="majorHAnsi" w:hAnsiTheme="majorHAnsi" w:cstheme="majorHAnsi"/>
          <w:sz w:val="10"/>
        </w:rPr>
        <w:t>“Foreknowledge”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Daodejing’s teachings on how to cultivate the most e</w:t>
      </w:r>
      <w:r w:rsidRPr="00EA1B63">
        <w:rPr>
          <w:rFonts w:asciiTheme="majorHAnsi" w:hAnsiTheme="majorHAnsi" w:cstheme="majorHAnsi"/>
          <w:sz w:val="10"/>
        </w:rPr>
        <w:pgNum/>
      </w:r>
      <w:r w:rsidRPr="00EA1B63">
        <w:rPr>
          <w:rFonts w:asciiTheme="majorHAnsi" w:hAnsiTheme="majorHAnsi" w:cstheme="majorHAnsi"/>
          <w:sz w:val="10"/>
        </w:rPr>
        <w:t>ffective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A1B63">
        <w:rPr>
          <w:rFonts w:asciiTheme="majorHAnsi" w:hAnsiTheme="majorHAnsi" w:cstheme="majorHAnsi"/>
          <w:sz w:val="10"/>
        </w:rPr>
        <w:pgNum/>
      </w:r>
      <w:r w:rsidRPr="00EA1B63">
        <w:rPr>
          <w:rFonts w:asciiTheme="majorHAnsi" w:hAnsiTheme="majorHAnsi" w:cstheme="majorHAnsi"/>
          <w:sz w:val="10"/>
        </w:rPr>
        <w:t xml:space="preserve">fines the Daoist sensibility, we might discover that a “single thread” </w:t>
      </w:r>
      <w:r w:rsidRPr="00EA1B63">
        <w:rPr>
          <w:rFonts w:asciiTheme="majorHAnsi" w:hAnsiTheme="majorHAnsi" w:cstheme="majorHAnsi"/>
          <w:sz w:val="10"/>
        </w:rPr>
        <w:lastRenderedPageBreak/>
        <w:t xml:space="preserve">pervades the text. </w:t>
      </w:r>
      <w:r w:rsidRPr="00EA1B63">
        <w:rPr>
          <w:rStyle w:val="Emphasis"/>
          <w:rFonts w:asciiTheme="majorHAnsi" w:hAnsiTheme="majorHAnsi" w:cstheme="majorHAnsi"/>
          <w:highlight w:val="cyan"/>
        </w:rPr>
        <w:t xml:space="preserve">The central focus of the Daoist way </w:t>
      </w:r>
      <w:r w:rsidRPr="00EA1B63">
        <w:rPr>
          <w:rFonts w:asciiTheme="majorHAnsi" w:hAnsiTheme="majorHAnsi" w:cstheme="majorHAnsi"/>
          <w:sz w:val="10"/>
        </w:rPr>
        <w:t>of thinking</w:t>
      </w:r>
      <w:r w:rsidRPr="00EA1B63">
        <w:rPr>
          <w:rStyle w:val="Emphasis"/>
          <w:rFonts w:asciiTheme="majorHAnsi" w:hAnsiTheme="majorHAnsi" w:cstheme="majorHAnsi"/>
          <w:highlight w:val="cyan"/>
        </w:rPr>
        <w:t xml:space="preserve"> is the decisive role of deference</w:t>
      </w:r>
      <w:r w:rsidRPr="00EA1B63">
        <w:rPr>
          <w:rFonts w:asciiTheme="majorHAnsi" w:hAnsiTheme="majorHAnsi" w:cstheme="majorHAnsi"/>
          <w:sz w:val="10"/>
        </w:rPr>
        <w:t xml:space="preserve"> in the establishment and preservation of relationships. As we have said above,</w:t>
      </w:r>
      <w:r w:rsidRPr="00EA1B63">
        <w:rPr>
          <w:rStyle w:val="Emphasis"/>
          <w:rFonts w:asciiTheme="majorHAnsi" w:hAnsiTheme="majorHAnsi" w:cstheme="majorHAnsi"/>
        </w:rPr>
        <w:t xml:space="preserve"> </w:t>
      </w:r>
      <w:r w:rsidRPr="00EA1B63">
        <w:rPr>
          <w:rStyle w:val="Emphasis"/>
          <w:rFonts w:asciiTheme="majorHAnsi" w:hAnsiTheme="majorHAnsi" w:cstheme="majorHAnsi"/>
          <w:highlight w:val="cyan"/>
        </w:rPr>
        <w:t xml:space="preserve">integrity in a processual worldview is </w:t>
      </w:r>
      <w:r w:rsidRPr="00EA1B63">
        <w:rPr>
          <w:rFonts w:asciiTheme="majorHAnsi" w:hAnsiTheme="majorHAnsi" w:cstheme="majorHAnsi"/>
          <w:sz w:val="10"/>
        </w:rPr>
        <w:t>not being one, but</w:t>
      </w:r>
      <w:r w:rsidRPr="00EA1B63">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A1B63">
        <w:rPr>
          <w:rFonts w:asciiTheme="majorHAnsi" w:hAnsiTheme="majorHAnsi" w:cstheme="majorHAnsi"/>
          <w:sz w:val="10"/>
        </w:rPr>
        <w:t>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fortifi</w:t>
      </w:r>
      <w:r w:rsidRPr="00EA1B63">
        <w:rPr>
          <w:rFonts w:asciiTheme="majorHAnsi" w:hAnsiTheme="majorHAnsi" w:cstheme="majorHAnsi"/>
          <w:sz w:val="10"/>
        </w:rPr>
        <w:pgNum/>
      </w:r>
      <w:r w:rsidRPr="00EA1B63">
        <w:rPr>
          <w:rFonts w:asciiTheme="majorHAnsi" w:hAnsiTheme="majorHAnsi" w:cstheme="majorHAnsi"/>
          <w:sz w:val="10"/>
        </w:rPr>
        <w:t>ed becomes available as a locus of deference for others. In Confucianism, self is determined by sustained eff</w:t>
      </w:r>
      <w:r w:rsidRPr="00EA1B63">
        <w:rPr>
          <w:rFonts w:asciiTheme="majorHAnsi" w:hAnsiTheme="majorHAnsi" w:cstheme="majorHAnsi"/>
          <w:sz w:val="10"/>
        </w:rPr>
        <w:pgNum/>
      </w:r>
      <w:r w:rsidRPr="00EA1B63">
        <w:rPr>
          <w:rFonts w:asciiTheme="majorHAnsi" w:hAnsiTheme="majorHAnsi" w:cstheme="majorHAnsi"/>
          <w:sz w:val="10"/>
        </w:rPr>
        <w:t>ort (</w:t>
      </w:r>
      <w:proofErr w:type="spellStart"/>
      <w:r w:rsidRPr="00EA1B63">
        <w:rPr>
          <w:rFonts w:asciiTheme="majorHAnsi" w:hAnsiTheme="majorHAnsi" w:cstheme="majorHAnsi"/>
          <w:sz w:val="10"/>
        </w:rPr>
        <w:t>zbong</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6CE0C727" wp14:editId="064501E2">
            <wp:extent cx="165100" cy="155575"/>
            <wp:effectExtent l="0" t="0" r="0" b="0"/>
            <wp:docPr id="77" name="Picture 77"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in deferential transactions (</w:t>
      </w:r>
      <w:proofErr w:type="spellStart"/>
      <w:r w:rsidRPr="00EA1B63">
        <w:rPr>
          <w:rFonts w:asciiTheme="majorHAnsi" w:hAnsiTheme="majorHAnsi" w:cstheme="majorHAnsi"/>
          <w:sz w:val="10"/>
        </w:rPr>
        <w:t>shu</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2065DEFF" wp14:editId="7F289055">
            <wp:extent cx="155575" cy="155575"/>
            <wp:effectExtent l="0" t="0" r="0" b="0"/>
            <wp:docPr id="78" name="Picture 78"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guided by ritually structured roles and relations (li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523619D1" wp14:editId="00895A65">
            <wp:extent cx="165100" cy="155575"/>
            <wp:effectExtent l="0" t="0" r="0" b="0"/>
            <wp:docPr id="79" name="Picture 79"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that project one’s person outward into society and into culture. Such a person becomes a focus of the community’s deference (junzi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305D84A6" wp14:editId="0EB69160">
            <wp:extent cx="340360" cy="155575"/>
            <wp:effectExtent l="0" t="0" r="2540" b="0"/>
            <wp:docPr id="80" name="Picture 80"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and a source of its spirituality (shen ). Daoism, on the other hand, expresses its deferential activity through what we are calling the wu-forms. The three most familiar articulations of this pervasive sensibility are: wuwei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0CF3D048" wp14:editId="0089FF10">
            <wp:extent cx="330835" cy="155575"/>
            <wp:effectExtent l="0" t="0" r="0" b="0"/>
            <wp:docPr id="81" name="Picture 81"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wuzhi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90ABAAD" wp14:editId="3BA86756">
            <wp:extent cx="321310" cy="155575"/>
            <wp:effectExtent l="0" t="0" r="0" b="0"/>
            <wp:docPr id="82" name="Picture 82"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and wuyu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6912BD4" wp14:editId="4A4B38D6">
            <wp:extent cx="330835" cy="155575"/>
            <wp:effectExtent l="0" t="0" r="0" b="0"/>
            <wp:docPr id="83" name="Picture 8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These are, respectively, noncoercive actions in accordance with the de (“particular focus”) of things; a sort of knowing without resort to rules or principles; and desiring which does not seek to possess or control its “object.” In each of these instances, as in the case of Confucian shu,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A1B63">
        <w:rPr>
          <w:rFonts w:asciiTheme="majorHAnsi" w:hAnsiTheme="majorHAnsi" w:cstheme="majorHAnsi"/>
          <w:sz w:val="10"/>
        </w:rPr>
        <w:pgNum/>
      </w:r>
      <w:r w:rsidRPr="00EA1B63">
        <w:rPr>
          <w:rFonts w:asciiTheme="majorHAnsi" w:hAnsiTheme="majorHAnsi" w:cstheme="majorHAnsi"/>
          <w:sz w:val="10"/>
        </w:rPr>
        <w:t>eld model of self. Given our discussion of the inseparability of feeling and thinking —the a</w:t>
      </w:r>
      <w:r w:rsidRPr="00EA1B63">
        <w:rPr>
          <w:rFonts w:asciiTheme="majorHAnsi" w:hAnsiTheme="majorHAnsi" w:cstheme="majorHAnsi"/>
          <w:sz w:val="10"/>
        </w:rPr>
        <w:pgNum/>
      </w:r>
      <w:r w:rsidRPr="00EA1B63">
        <w:rPr>
          <w:rFonts w:asciiTheme="majorHAnsi" w:hAnsiTheme="majorHAnsi" w:cstheme="majorHAnsi"/>
          <w:sz w:val="10"/>
        </w:rPr>
        <w:t>ffective and the cognitive—in the Daoist heart-and-mind (xin), the con</w:t>
      </w:r>
      <w:r w:rsidRPr="00EA1B63">
        <w:rPr>
          <w:rFonts w:asciiTheme="majorHAnsi" w:hAnsiTheme="majorHAnsi" w:cstheme="majorHAnsi"/>
          <w:sz w:val="10"/>
        </w:rPr>
        <w:pgNum/>
      </w:r>
      <w:r w:rsidRPr="00EA1B63">
        <w:rPr>
          <w:rFonts w:asciiTheme="majorHAnsi" w:hAnsiTheme="majorHAnsi" w:cstheme="majorHAnsi"/>
          <w:sz w:val="10"/>
        </w:rPr>
        <w:t>flict associated with the self that the Daoist sage must overcome cannot be a struggle among some compartmentalized rational, appetitive, and emotional faculties. Indeed, given the relational and unpartitioned model of the self characterized by xin, it is di</w:t>
      </w:r>
      <w:r w:rsidRPr="00EA1B63">
        <w:rPr>
          <w:rFonts w:asciiTheme="majorHAnsi" w:hAnsiTheme="majorHAnsi" w:cstheme="majorHAnsi"/>
          <w:sz w:val="10"/>
        </w:rPr>
        <w:pgNum/>
      </w:r>
      <w:r w:rsidRPr="00EA1B63">
        <w:rPr>
          <w:rFonts w:asciiTheme="majorHAnsi" w:hAnsiTheme="majorHAnsi" w:cstheme="majorHAnsi"/>
          <w:sz w:val="10"/>
        </w:rPr>
        <w:t xml:space="preserve">cult to imagine how there could be anything like an internal dynamics that would be a source of agitation. It is unlikely that we would nd Hamlets or St. Pauls prominent among the Daoists. If the problematic of unrealized selfhood does not entail a self divided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2D034E5" wp14:editId="488A1626">
            <wp:extent cx="165100" cy="155575"/>
            <wp:effectExtent l="0" t="0" r="0" b="0"/>
            <wp:docPr id="84" name="Picture 84"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A1B63">
        <w:rPr>
          <w:rFonts w:asciiTheme="majorHAnsi" w:hAnsiTheme="majorHAnsi" w:cstheme="majorHAnsi"/>
          <w:sz w:val="10"/>
        </w:rPr>
        <w:t>wu</w:t>
      </w:r>
      <w:proofErr w:type="spellEnd"/>
      <w:r w:rsidRPr="00EA1B63">
        <w:rPr>
          <w:rFonts w:asciiTheme="majorHAnsi" w:hAnsiTheme="majorHAnsi" w:cstheme="majorHAnsi"/>
          <w:sz w:val="10"/>
        </w:rPr>
        <w:t xml:space="preserve">-forms that we have discussed in more detail elsewhere,20 </w:t>
      </w:r>
      <w:proofErr w:type="spellStart"/>
      <w:r w:rsidRPr="00EA1B63">
        <w:rPr>
          <w:rFonts w:asciiTheme="majorHAnsi" w:hAnsiTheme="majorHAnsi" w:cstheme="majorHAnsi"/>
          <w:sz w:val="10"/>
        </w:rPr>
        <w:t>wuwei</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74808B4A" wp14:editId="026C8DC6">
            <wp:extent cx="340360" cy="155575"/>
            <wp:effectExtent l="0" t="0" r="2540" b="0"/>
            <wp:docPr id="85" name="Picture 85"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19878A06" wp14:editId="7FC6B848">
            <wp:extent cx="155575" cy="155575"/>
            <wp:effectExtent l="0" t="0" r="0" b="0"/>
            <wp:docPr id="86" name="Picture 86"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ziran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0598AA88" wp14:editId="4CD2C6FF">
            <wp:extent cx="301625" cy="155575"/>
            <wp:effectExtent l="0" t="0" r="3175" b="0"/>
            <wp:docPr id="87" name="Picture 87"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“spontaneous” and “self-so-ing,” and as such, are nonassertive actions. It is not through an internal struggle of reason against the passions but through “acuity (</w:t>
      </w:r>
      <w:proofErr w:type="spellStart"/>
      <w:r w:rsidRPr="00EA1B63">
        <w:rPr>
          <w:rFonts w:asciiTheme="majorHAnsi" w:hAnsiTheme="majorHAnsi" w:cstheme="majorHAnsi"/>
          <w:sz w:val="10"/>
        </w:rPr>
        <w:t>ming</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D290931" wp14:editId="3A526D80">
            <wp:extent cx="155575" cy="155575"/>
            <wp:effectExtent l="0" t="0" r="0" b="0"/>
            <wp:docPr id="88" name="Picture 8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A1B63">
        <w:rPr>
          <w:rFonts w:asciiTheme="majorHAnsi" w:hAnsiTheme="majorHAnsi" w:cstheme="majorHAnsi"/>
          <w:sz w:val="10"/>
        </w:rPr>
        <w:t>jing</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073F9308" wp14:editId="2CF850FB">
            <wp:extent cx="155575" cy="155575"/>
            <wp:effectExtent l="0" t="0" r="0" b="0"/>
            <wp:docPr id="89" name="Picture 89"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—stillness, </w:t>
      </w:r>
      <w:proofErr w:type="spellStart"/>
      <w:r w:rsidRPr="00EA1B63">
        <w:rPr>
          <w:rFonts w:asciiTheme="majorHAnsi" w:hAnsiTheme="majorHAnsi" w:cstheme="majorHAnsi"/>
          <w:sz w:val="10"/>
        </w:rPr>
        <w:t>tranquillity</w:t>
      </w:r>
      <w:proofErr w:type="spellEnd"/>
      <w:r w:rsidRPr="00EA1B63">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jing is “tranquillity-becoming-agitated.” Thus, </w:t>
      </w:r>
      <w:proofErr w:type="spellStart"/>
      <w:r w:rsidRPr="00EA1B63">
        <w:rPr>
          <w:rFonts w:asciiTheme="majorHAnsi" w:hAnsiTheme="majorHAnsi" w:cstheme="majorHAnsi"/>
          <w:sz w:val="10"/>
        </w:rPr>
        <w:t>tranquillity</w:t>
      </w:r>
      <w:proofErr w:type="spellEnd"/>
      <w:r w:rsidRPr="00EA1B63">
        <w:rPr>
          <w:rFonts w:asciiTheme="majorHAnsi" w:hAnsiTheme="majorHAnsi" w:cstheme="majorHAnsi"/>
          <w:sz w:val="10"/>
        </w:rPr>
        <w:t xml:space="preserve"> (</w:t>
      </w:r>
      <w:proofErr w:type="spellStart"/>
      <w:r w:rsidRPr="00EA1B63">
        <w:rPr>
          <w:rFonts w:asciiTheme="majorHAnsi" w:hAnsiTheme="majorHAnsi" w:cstheme="majorHAnsi"/>
          <w:sz w:val="10"/>
        </w:rPr>
        <w:t>jing</w:t>
      </w:r>
      <w:proofErr w:type="spellEnd"/>
      <w:r w:rsidRPr="00EA1B63">
        <w:rPr>
          <w:rFonts w:asciiTheme="majorHAnsi" w:hAnsiTheme="majorHAnsi" w:cstheme="majorHAnsi"/>
          <w:sz w:val="10"/>
        </w:rPr>
        <w:t xml:space="preserve">) stands in a dominant relationship in its partnership with agitation (dong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D477411" wp14:editId="493C8392">
            <wp:extent cx="155575" cy="155575"/>
            <wp:effectExtent l="0" t="0" r="0" b="0"/>
            <wp:docPr id="90" name="Picture 90"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it does not negate or exclude its opposite. The same </w:t>
      </w:r>
      <w:proofErr w:type="spellStart"/>
      <w:r w:rsidRPr="00EA1B63">
        <w:rPr>
          <w:rFonts w:asciiTheme="majorHAnsi" w:hAnsiTheme="majorHAnsi" w:cstheme="majorHAnsi"/>
          <w:sz w:val="10"/>
        </w:rPr>
        <w:t>quali</w:t>
      </w:r>
      <w:proofErr w:type="spellEnd"/>
      <w:r w:rsidRPr="00EA1B63">
        <w:rPr>
          <w:rFonts w:asciiTheme="majorHAnsi" w:hAnsiTheme="majorHAnsi" w:cstheme="majorHAnsi"/>
          <w:sz w:val="10"/>
        </w:rPr>
        <w:pgNum/>
      </w:r>
      <w:proofErr w:type="spellStart"/>
      <w:r w:rsidRPr="00EA1B63">
        <w:rPr>
          <w:rFonts w:asciiTheme="majorHAnsi" w:hAnsiTheme="majorHAnsi" w:cstheme="majorHAnsi"/>
          <w:sz w:val="10"/>
        </w:rPr>
        <w:t>fication</w:t>
      </w:r>
      <w:proofErr w:type="spellEnd"/>
      <w:r w:rsidRPr="00EA1B63">
        <w:rPr>
          <w:rFonts w:asciiTheme="majorHAnsi" w:hAnsiTheme="majorHAnsi" w:cstheme="majorHAnsi"/>
          <w:sz w:val="10"/>
        </w:rPr>
        <w:t xml:space="preserve"> has to be brought to bear on other familiar pairs that might otherwise mislead us: for example, emptiness (xu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31905840" wp14:editId="09964B6C">
            <wp:extent cx="165100" cy="155575"/>
            <wp:effectExtent l="0" t="0" r="0" b="0"/>
            <wp:docPr id="91" name="Picture 91"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and fullness (</w:t>
      </w:r>
      <w:proofErr w:type="spellStart"/>
      <w:r w:rsidRPr="00EA1B63">
        <w:rPr>
          <w:rFonts w:asciiTheme="majorHAnsi" w:hAnsiTheme="majorHAnsi" w:cstheme="majorHAnsi"/>
          <w:sz w:val="10"/>
        </w:rPr>
        <w:t>shi</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65D81C3D" wp14:editId="2EC03E3B">
            <wp:extent cx="155575" cy="155575"/>
            <wp:effectExtent l="0" t="0" r="0" b="0"/>
            <wp:docPr id="92" name="Picture 92"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and clarity (</w:t>
      </w:r>
      <w:proofErr w:type="spellStart"/>
      <w:r w:rsidRPr="00EA1B63">
        <w:rPr>
          <w:rFonts w:asciiTheme="majorHAnsi" w:hAnsiTheme="majorHAnsi" w:cstheme="majorHAnsi"/>
          <w:sz w:val="10"/>
        </w:rPr>
        <w:t>qing</w:t>
      </w:r>
      <w:proofErr w:type="spellEnd"/>
      <w:r w:rsidRPr="00EA1B63">
        <w:rPr>
          <w:rFonts w:asciiTheme="majorHAnsi" w:hAnsiTheme="majorHAnsi" w:cstheme="majorHAnsi"/>
          <w:sz w:val="10"/>
        </w:rPr>
        <w:t xml:space="preserve"> ) and turbidity (</w:t>
      </w:r>
      <w:proofErr w:type="spellStart"/>
      <w:r w:rsidRPr="00EA1B63">
        <w:rPr>
          <w:rFonts w:asciiTheme="majorHAnsi" w:hAnsiTheme="majorHAnsi" w:cstheme="majorHAnsi"/>
          <w:sz w:val="10"/>
        </w:rPr>
        <w:t>zhuo</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202030C2" wp14:editId="0DFB355B">
            <wp:extent cx="165100" cy="155575"/>
            <wp:effectExtent l="0" t="0" r="0" b="0"/>
            <wp:docPr id="93" name="Picture 93"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Wuzhi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“acosmotic”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Wuzhi provides one with a sense of the de of a thing— its particular uniqueness and focus— rather than yielding an understanding of that thing in relation to some concept or natural kind or universal. Ultimately, </w:t>
      </w:r>
      <w:proofErr w:type="spellStart"/>
      <w:r w:rsidRPr="00EA1B63">
        <w:rPr>
          <w:rFonts w:asciiTheme="majorHAnsi" w:hAnsiTheme="majorHAnsi" w:cstheme="majorHAnsi"/>
          <w:sz w:val="10"/>
        </w:rPr>
        <w:t>wuzhi</w:t>
      </w:r>
      <w:proofErr w:type="spellEnd"/>
      <w:r w:rsidRPr="00EA1B63">
        <w:rPr>
          <w:rFonts w:asciiTheme="majorHAnsi" w:hAnsiTheme="majorHAnsi" w:cstheme="majorHAnsi"/>
          <w:sz w:val="10"/>
        </w:rPr>
        <w:t xml:space="preserve"> is a grasp of the </w:t>
      </w:r>
      <w:proofErr w:type="spellStart"/>
      <w:r w:rsidRPr="00EA1B63">
        <w:rPr>
          <w:rFonts w:asciiTheme="majorHAnsi" w:hAnsiTheme="majorHAnsi" w:cstheme="majorHAnsi"/>
          <w:sz w:val="10"/>
        </w:rPr>
        <w:t>daode</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793AA458" wp14:editId="59BFBE53">
            <wp:extent cx="340360" cy="155575"/>
            <wp:effectExtent l="0" t="0" r="2540" b="0"/>
            <wp:docPr id="94" name="Picture 94"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2BF567D2" wp14:editId="009CABD3">
            <wp:extent cx="155575" cy="155575"/>
            <wp:effectExtent l="0" t="0" r="0" b="0"/>
            <wp:docPr id="95" name="Picture 95"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15786A8A" wp14:editId="479BDC0B">
            <wp:extent cx="340360" cy="155575"/>
            <wp:effectExtent l="0" t="0" r="2540" b="0"/>
            <wp:docPr id="96" name="Picture 96"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Daodejing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quietistic.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A1B63">
        <w:rPr>
          <w:rFonts w:asciiTheme="majorHAnsi" w:hAnsiTheme="majorHAnsi" w:cstheme="majorHAnsi"/>
          <w:sz w:val="10"/>
        </w:rPr>
        <w:pgNum/>
      </w:r>
      <w:r w:rsidRPr="00EA1B63">
        <w:rPr>
          <w:rFonts w:asciiTheme="majorHAnsi" w:hAnsiTheme="majorHAnsi" w:cstheme="majorHAnsi"/>
          <w:sz w:val="10"/>
        </w:rPr>
        <w:t xml:space="preserve">ffect. These metaphors for xin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A1B63">
        <w:rPr>
          <w:rFonts w:asciiTheme="majorHAnsi" w:hAnsiTheme="majorHAnsi" w:cstheme="majorHAnsi"/>
          <w:sz w:val="10"/>
        </w:rPr>
        <w:t>wuyu</w:t>
      </w:r>
      <w:proofErr w:type="spellEnd"/>
      <w:r w:rsidRPr="00EA1B63">
        <w:rPr>
          <w:rFonts w:asciiTheme="majorHAnsi" w:hAnsiTheme="majorHAnsi" w:cstheme="majorHAnsi"/>
          <w:sz w:val="10"/>
        </w:rPr>
        <w:t xml:space="preserve">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15561E8" wp14:editId="0399E397">
            <wp:extent cx="330835" cy="155575"/>
            <wp:effectExtent l="0" t="0" r="0" b="0"/>
            <wp:docPr id="97" name="Picture 97"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EA1B63">
        <w:rPr>
          <w:rStyle w:val="Emphasis"/>
          <w:rFonts w:asciiTheme="majorHAnsi" w:hAnsiTheme="majorHAnsi" w:cstheme="majorHAnsi"/>
          <w:highlight w:val="cyan"/>
        </w:rPr>
        <w:t>the desiring associated with the Daoist sensibility is in the strictest sense “objectless.”</w:t>
      </w:r>
      <w:r w:rsidRPr="00EA1B63">
        <w:rPr>
          <w:rFonts w:asciiTheme="majorHAnsi" w:hAnsiTheme="majorHAnsi" w:cstheme="majorHAnsi"/>
          <w:sz w:val="10"/>
        </w:rPr>
        <w:t xml:space="preserve"> The “enjoyments” associated with wuyu are possible without the need to de</w:t>
      </w:r>
      <w:r w:rsidRPr="00EA1B63">
        <w:rPr>
          <w:rFonts w:asciiTheme="majorHAnsi" w:hAnsiTheme="majorHAnsi" w:cstheme="majorHAnsi"/>
          <w:sz w:val="10"/>
        </w:rPr>
        <w:pgNum/>
      </w:r>
      <w:r w:rsidRPr="00EA1B63">
        <w:rPr>
          <w:rFonts w:asciiTheme="majorHAnsi" w:hAnsiTheme="majorHAnsi" w:cstheme="majorHAnsi"/>
          <w:sz w:val="10"/>
        </w:rPr>
        <w:t xml:space="preserve">ne, possess, or control the occasion of one’s enjoyment. Thus, </w:t>
      </w:r>
      <w:r w:rsidRPr="00EA1B63">
        <w:rPr>
          <w:rStyle w:val="Emphasis"/>
          <w:rFonts w:asciiTheme="majorHAnsi" w:hAnsiTheme="majorHAnsi" w:cstheme="majorHAnsi"/>
          <w:highlight w:val="cyan"/>
        </w:rPr>
        <w:t>wuyu</w:t>
      </w:r>
      <w:r w:rsidRPr="00EA1B63">
        <w:rPr>
          <w:rFonts w:asciiTheme="majorHAnsi" w:hAnsiTheme="majorHAnsi" w:cstheme="majorHAnsi"/>
          <w:sz w:val="10"/>
        </w:rPr>
        <w:t>, rather than involving the cessation and absence of desire, represents</w:t>
      </w:r>
      <w:r w:rsidRPr="00EA1B63">
        <w:rPr>
          <w:rStyle w:val="Emphasis"/>
          <w:rFonts w:asciiTheme="majorHAnsi" w:hAnsiTheme="majorHAnsi" w:cstheme="majorHAnsi"/>
        </w:rPr>
        <w:t xml:space="preserve"> </w:t>
      </w:r>
      <w:r w:rsidRPr="00EA1B63">
        <w:rPr>
          <w:rStyle w:val="Emphasis"/>
          <w:rFonts w:asciiTheme="majorHAnsi" w:hAnsiTheme="majorHAnsi" w:cstheme="majorHAnsi"/>
          <w:highlight w:val="cyan"/>
        </w:rPr>
        <w:t xml:space="preserve">the achievement of deferential desire. Desire, </w:t>
      </w:r>
      <w:r w:rsidRPr="00EA1B63">
        <w:rPr>
          <w:rFonts w:asciiTheme="majorHAnsi" w:hAnsiTheme="majorHAnsi" w:cstheme="majorHAnsi"/>
          <w:sz w:val="10"/>
        </w:rPr>
        <w:t>based upon a noncoercive relationship (wuwei) with the world and a “mirroring” understanding (wuzhi) of it, is</w:t>
      </w:r>
      <w:r w:rsidRPr="00EA1B63">
        <w:rPr>
          <w:rStyle w:val="Emphasis"/>
          <w:rFonts w:asciiTheme="majorHAnsi" w:hAnsiTheme="majorHAnsi" w:cstheme="majorHAnsi"/>
          <w:highlight w:val="cyan"/>
        </w:rPr>
        <w:t xml:space="preserve"> shaped not by the desire to own, to control, or to consume, but by the desire simply to celebrate and to enjoy.</w:t>
      </w:r>
      <w:r w:rsidRPr="00EA1B63">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desirer. In a world of events and processes in which discriminations are recognized as conventional and transient,</w:t>
      </w:r>
      <w:r w:rsidRPr="00EA1B63">
        <w:rPr>
          <w:rStyle w:val="Emphasis"/>
          <w:rFonts w:asciiTheme="majorHAnsi" w:hAnsiTheme="majorHAnsi" w:cstheme="majorHAnsi"/>
        </w:rPr>
        <w:t xml:space="preserve"> </w:t>
      </w:r>
      <w:r w:rsidRPr="00EA1B63">
        <w:rPr>
          <w:rStyle w:val="Emphasis"/>
          <w:rFonts w:asciiTheme="majorHAnsi" w:hAnsiTheme="majorHAnsi" w:cstheme="majorHAnsi"/>
          <w:highlight w:val="cyan"/>
        </w:rPr>
        <w:t>desire is predicated upon one’s ability at any given moment to “let go.”</w:t>
      </w:r>
      <w:r w:rsidRPr="00EA1B63">
        <w:rPr>
          <w:rFonts w:asciiTheme="majorHAnsi" w:hAnsiTheme="majorHAnsi" w:cstheme="majorHAnsi"/>
          <w:sz w:val="10"/>
        </w:rPr>
        <w:t xml:space="preserve"> It is in this sense that wuyu is a nonconstruing,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Wuhua </w:t>
      </w:r>
      <w:r w:rsidRPr="00EA1B63">
        <w:rPr>
          <w:rFonts w:asciiTheme="majorHAnsi" w:hAnsiTheme="majorHAnsi" w:cstheme="majorHAnsi"/>
          <w:sz w:val="10"/>
        </w:rPr>
        <w:fldChar w:fldCharType="begin"/>
      </w:r>
      <w:r w:rsidRPr="00EA1B63">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EA1B63">
        <w:rPr>
          <w:rFonts w:asciiTheme="majorHAnsi" w:hAnsiTheme="majorHAnsi" w:cstheme="majorHAnsi"/>
          <w:sz w:val="10"/>
        </w:rPr>
        <w:fldChar w:fldCharType="separate"/>
      </w:r>
      <w:r w:rsidRPr="00EA1B63">
        <w:rPr>
          <w:rFonts w:asciiTheme="majorHAnsi" w:hAnsiTheme="majorHAnsi" w:cstheme="majorHAnsi"/>
          <w:noProof/>
          <w:sz w:val="10"/>
        </w:rPr>
        <w:drawing>
          <wp:inline distT="0" distB="0" distL="0" distR="0" wp14:anchorId="41BCD752" wp14:editId="049D38DD">
            <wp:extent cx="330835" cy="155575"/>
            <wp:effectExtent l="0" t="0" r="0" b="0"/>
            <wp:docPr id="98" name="Picture 98"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A1B63">
        <w:rPr>
          <w:rFonts w:asciiTheme="majorHAnsi" w:hAnsiTheme="majorHAnsi" w:cstheme="majorHAnsi"/>
          <w:sz w:val="10"/>
        </w:rPr>
        <w:fldChar w:fldCharType="end"/>
      </w:r>
      <w:r w:rsidRPr="00EA1B63">
        <w:rPr>
          <w:rFonts w:asciiTheme="majorHAnsi" w:hAnsiTheme="majorHAnsi" w:cstheme="majorHAnsi"/>
          <w:sz w:val="10"/>
        </w:rPr>
        <w:t xml:space="preserve">, </w:t>
      </w:r>
      <w:r w:rsidRPr="00EA1B63">
        <w:rPr>
          <w:rStyle w:val="Emphasis"/>
          <w:rFonts w:asciiTheme="majorHAnsi" w:hAnsiTheme="majorHAnsi" w:cstheme="majorHAnsi"/>
          <w:highlight w:val="cyan"/>
        </w:rPr>
        <w:t>the metamorphosis of things</w:t>
      </w:r>
      <w:r w:rsidRPr="00EA1B63">
        <w:rPr>
          <w:rFonts w:asciiTheme="majorHAnsi" w:hAnsiTheme="majorHAnsi" w:cstheme="majorHAnsi"/>
          <w:sz w:val="10"/>
        </w:rPr>
        <w:t xml:space="preserve"> (and not to be confused with the wu- forms), </w:t>
      </w:r>
      <w:r w:rsidRPr="00EA1B63">
        <w:rPr>
          <w:rStyle w:val="Emphasis"/>
          <w:rFonts w:asciiTheme="majorHAnsi" w:hAnsiTheme="majorHAnsi" w:cstheme="majorHAnsi"/>
          <w:highlight w:val="cyan"/>
        </w:rPr>
        <w:t>means that we can never pretend that what we seek to hold on to has any permanent status.</w:t>
      </w:r>
      <w:r w:rsidRPr="00EA1B63">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wuyu—indeed of all these wu- forms that comprise the Daoist disposition—lies in the contrast between “objects” and “objectivity.” Using Western epistemological terms, the thoughts about the world expressed in both the Zhuangzi and the Daodejing represent what we might call a realist perspective.22 Beyond the mediating confusions introduced by language, and by layers of our own distorted perceptions and tendentious categorizations, there is nevertheless, with properly Daoist qualifi</w:t>
      </w:r>
      <w:r w:rsidRPr="00EA1B63">
        <w:rPr>
          <w:rFonts w:asciiTheme="majorHAnsi" w:hAnsiTheme="majorHAnsi" w:cstheme="majorHAnsi"/>
          <w:sz w:val="10"/>
        </w:rPr>
        <w:pgNum/>
      </w:r>
      <w:r w:rsidRPr="00EA1B63">
        <w:rPr>
          <w:rFonts w:asciiTheme="majorHAnsi" w:hAnsiTheme="majorHAnsi" w:cstheme="majorHAnsi"/>
          <w:sz w:val="10"/>
        </w:rPr>
        <w:t xml:space="preserve">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w:t>
      </w:r>
      <w:r w:rsidRPr="00EA1B63">
        <w:rPr>
          <w:rFonts w:asciiTheme="majorHAnsi" w:hAnsiTheme="majorHAnsi" w:cstheme="majorHAnsi"/>
          <w:sz w:val="10"/>
        </w:rPr>
        <w:lastRenderedPageBreak/>
        <w:t>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EA1B63">
        <w:rPr>
          <w:rStyle w:val="Emphasis"/>
          <w:rFonts w:asciiTheme="majorHAnsi" w:hAnsiTheme="majorHAnsi" w:cstheme="majorHAnsi"/>
        </w:rPr>
        <w:t xml:space="preserve"> </w:t>
      </w:r>
      <w:r w:rsidRPr="00EA1B63">
        <w:rPr>
          <w:rFonts w:asciiTheme="majorHAnsi" w:hAnsiTheme="majorHAnsi" w:cstheme="majorHAnsi"/>
          <w:sz w:val="10"/>
        </w:rPr>
        <w:t>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effect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EA1B63">
        <w:rPr>
          <w:rFonts w:asciiTheme="majorHAnsi" w:hAnsiTheme="majorHAnsi" w:cstheme="majorHAnsi"/>
          <w:sz w:val="10"/>
        </w:rPr>
        <w:pgNum/>
      </w:r>
      <w:r w:rsidRPr="00EA1B63">
        <w:rPr>
          <w:rFonts w:asciiTheme="majorHAnsi" w:hAnsiTheme="majorHAnsi" w:cstheme="majorHAnsi"/>
          <w:sz w:val="10"/>
        </w:rPr>
        <w:t>fined in these terms is e</w:t>
      </w:r>
      <w:r w:rsidRPr="00EA1B63">
        <w:rPr>
          <w:rFonts w:asciiTheme="majorHAnsi" w:hAnsiTheme="majorHAnsi" w:cstheme="majorHAnsi"/>
          <w:sz w:val="10"/>
        </w:rPr>
        <w:pgNum/>
      </w:r>
      <w:r w:rsidRPr="00EA1B63">
        <w:rPr>
          <w:rFonts w:asciiTheme="majorHAnsi" w:hAnsiTheme="majorHAnsi" w:cstheme="majorHAnsi"/>
          <w:sz w:val="10"/>
        </w:rPr>
        <w:t>ficacious, it enriches the world by allowing the process to unfold spontaneously on its own terms, while at the same time participating fully in it. We may say that the implementation of the wu-forms allows us to leave the world as it is. But we may make this claim only if we recognize that “world” in this context means a myriad of spontaneous transactions that are characterized by emerging patterns of deference to acknowledged excellences.</w:t>
      </w:r>
      <w:r w:rsidRPr="00EA1B63">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EA1B63">
        <w:rPr>
          <w:rStyle w:val="Emphasis"/>
          <w:rFonts w:asciiTheme="majorHAnsi" w:hAnsiTheme="majorHAnsi" w:cstheme="majorHAnsi"/>
        </w:rPr>
        <w:t xml:space="preserve"> </w:t>
      </w:r>
      <w:r w:rsidRPr="00EA1B63">
        <w:rPr>
          <w:rFonts w:asciiTheme="majorHAnsi" w:hAnsiTheme="majorHAnsi" w:cstheme="majorHAnsi"/>
          <w:sz w:val="10"/>
        </w:rPr>
        <w:t>These three wu-forms—wuwei, wuzhi, wuyu—all provide a way of entertaining, of deferring to, and of investing oneself in an objectless world.</w:t>
      </w:r>
      <w:r w:rsidRPr="00EA1B63">
        <w:rPr>
          <w:rStyle w:val="Emphasis"/>
          <w:rFonts w:asciiTheme="majorHAnsi" w:hAnsiTheme="majorHAnsi" w:cstheme="majorHAnsi"/>
          <w:highlight w:val="cyan"/>
        </w:rPr>
        <w:t xml:space="preserve"> </w:t>
      </w:r>
      <w:r w:rsidRPr="00EA1B63">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wu-forms are understood as the optimum dispositions of the Daoist self, whether in the person of the sage or the people, they provide us with a way of interpreting passages in the Daodejing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ll their stomachs, They weaken their aspirations and strengthen their bones, Ever teaching the common people to be unprincipled in their knowing And objectless in their desires. They keep the hawkers of knowledge at bay. It is simply in doing things noncoercively That everything is governed properly. But the wu-forms are not just wuwei, </w:t>
      </w:r>
    </w:p>
    <w:p w14:paraId="3AEDFCC2" w14:textId="0426D467" w:rsidR="00CF204C" w:rsidRPr="00EA1B63" w:rsidRDefault="00CF204C" w:rsidP="00CF204C">
      <w:pPr>
        <w:pStyle w:val="Heading4"/>
        <w:rPr>
          <w:rFonts w:asciiTheme="majorHAnsi" w:hAnsiTheme="majorHAnsi" w:cstheme="majorHAnsi"/>
        </w:rPr>
      </w:pPr>
      <w:r w:rsidRPr="00EA1B63">
        <w:rPr>
          <w:rFonts w:asciiTheme="majorHAnsi" w:hAnsiTheme="majorHAnsi" w:cstheme="majorHAnsi"/>
        </w:rPr>
        <w:t>True creativity is only viable in a processual world with commons structures, living in novelty is the ONLY ROUT to optimal advancements</w:t>
      </w:r>
    </w:p>
    <w:p w14:paraId="096560CE" w14:textId="77777777" w:rsidR="005D60B2" w:rsidRPr="00EA1B63" w:rsidRDefault="005D60B2" w:rsidP="005D60B2">
      <w:pPr>
        <w:rPr>
          <w:rFonts w:asciiTheme="majorHAnsi" w:hAnsiTheme="majorHAnsi" w:cstheme="majorHAnsi"/>
        </w:rPr>
      </w:pPr>
      <w:r w:rsidRPr="00EA1B63">
        <w:rPr>
          <w:rStyle w:val="Style13ptBold"/>
          <w:rFonts w:asciiTheme="majorHAnsi" w:hAnsiTheme="majorHAnsi" w:cstheme="majorHAnsi"/>
        </w:rPr>
        <w:t xml:space="preserve">Ames and Hall 10. </w:t>
      </w:r>
      <w:r w:rsidRPr="00EA1B63">
        <w:rPr>
          <w:rFonts w:asciiTheme="majorHAnsi" w:hAnsiTheme="majorHAnsi" w:cstheme="majorHAnsi"/>
        </w:rPr>
        <w:t xml:space="preserve">Roger Ames and David Hall (Ames is a Canadian philosopher at the University of Peking. Hall was a professor of philosophy at the University of Texas), 2010, “Daodejing: Making this Life Significant,” Ballantine Books, I have a pdf, r0w@n </w:t>
      </w:r>
    </w:p>
    <w:p w14:paraId="2F8A3E5B" w14:textId="77777777" w:rsidR="00CF204C" w:rsidRPr="00EA1B63" w:rsidRDefault="00CF204C" w:rsidP="00CF204C">
      <w:pPr>
        <w:spacing w:after="0" w:line="240" w:lineRule="auto"/>
        <w:rPr>
          <w:rFonts w:asciiTheme="majorHAnsi" w:eastAsia="Times New Roman" w:hAnsiTheme="majorHAnsi" w:cstheme="majorHAnsi"/>
          <w:color w:val="000000"/>
          <w:sz w:val="14"/>
          <w:szCs w:val="14"/>
        </w:rPr>
      </w:pPr>
      <w:r w:rsidRPr="00EA1B63">
        <w:rPr>
          <w:rFonts w:asciiTheme="majorHAnsi" w:eastAsia="Times New Roman" w:hAnsiTheme="majorHAnsi" w:cstheme="majorHAnsi"/>
          <w:color w:val="000000"/>
          <w:sz w:val="14"/>
          <w:szCs w:val="14"/>
        </w:rPr>
        <w:t xml:space="preserve">In our introduction to Focusing the Familiar: A Translation and Philosophical Interpretation of the Zhongyong, we introduce a distinction between power and creativity, and follow A. N. Whitehead in questioning the appropriateness of using “creativity” in the familiar creatio ex nihilo model that we associate with Judeo- Christian cosmogony. Whitehead </w:t>
      </w:r>
      <w:r w:rsidRPr="00EA1B63">
        <w:rPr>
          <w:rFonts w:asciiTheme="majorHAnsi" w:hAnsiTheme="majorHAnsi" w:cstheme="majorHAnsi"/>
          <w:sz w:val="14"/>
        </w:rPr>
        <w:t>argues that any robust sense of creativity requires that creativity itself is more primordial than God. In the received Judeo-Christian tradition, the all-powerful God determines things, makes things. God, as Omnipotent Other Who commands the world into being, is Maker of the world, not its Creator. In the presence of the perfection that is God, nothing can be added or taken away. There can be no novelty or spontaneity. Thus, all subsequent acts of “creativity” are in fact secondary and derivative exercises of power</w:t>
      </w:r>
      <w:r w:rsidRPr="00EA1B63">
        <w:rPr>
          <w:rStyle w:val="Emphasis"/>
          <w:rFonts w:asciiTheme="majorHAnsi" w:hAnsiTheme="majorHAnsi" w:cstheme="majorHAnsi"/>
          <w:highlight w:val="cyan"/>
        </w:rPr>
        <w:t xml:space="preserve">. Creativity can make sense only in a processual world that admits of ontological parity among its constitutive events and of the spontaneous emergence of novelty. </w:t>
      </w:r>
      <w:r w:rsidRPr="00EA1B63">
        <w:rPr>
          <w:rFonts w:asciiTheme="majorHAnsi" w:hAnsiTheme="majorHAnsi" w:cstheme="majorHAnsi"/>
          <w:sz w:val="14"/>
        </w:rPr>
        <w:t>Power is to be construed as the production of intended effects determined by external causation. Real</w:t>
      </w:r>
      <w:r w:rsidRPr="00EA1B63">
        <w:rPr>
          <w:rStyle w:val="Emphasis"/>
          <w:rFonts w:asciiTheme="majorHAnsi" w:hAnsiTheme="majorHAnsi" w:cstheme="majorHAnsi"/>
          <w:highlight w:val="cyan"/>
        </w:rPr>
        <w:t xml:space="preserve"> creativity</w:t>
      </w:r>
      <w:r w:rsidRPr="00EA1B63">
        <w:rPr>
          <w:rFonts w:asciiTheme="majorHAnsi" w:hAnsiTheme="majorHAnsi" w:cstheme="majorHAnsi"/>
          <w:sz w:val="14"/>
        </w:rPr>
        <w:t>, on the other hand,</w:t>
      </w:r>
      <w:r w:rsidRPr="00EA1B63">
        <w:rPr>
          <w:rStyle w:val="Emphasis"/>
          <w:rFonts w:asciiTheme="majorHAnsi" w:hAnsiTheme="majorHAnsi" w:cstheme="majorHAnsi"/>
          <w:highlight w:val="cyan"/>
        </w:rPr>
        <w:t xml:space="preserve"> entails the spontaneous production of novelty, irreducible through causal analysis</w:t>
      </w:r>
      <w:r w:rsidRPr="00EA1B63">
        <w:rPr>
          <w:rFonts w:asciiTheme="majorHAnsi" w:eastAsia="Times New Roman" w:hAnsiTheme="majorHAnsi" w:cstheme="majorHAnsi"/>
          <w:b/>
          <w:bCs/>
          <w:color w:val="000000"/>
          <w:sz w:val="24"/>
          <w:u w:val="single"/>
          <w:shd w:val="clear" w:color="auto" w:fill="90F2F4"/>
        </w:rPr>
        <w:t>.</w:t>
      </w:r>
      <w:r w:rsidRPr="00EA1B63">
        <w:rPr>
          <w:rFonts w:asciiTheme="majorHAnsi" w:eastAsia="Times New Roman" w:hAnsiTheme="majorHAnsi" w:cstheme="majorHAnsi"/>
          <w:color w:val="000000"/>
          <w:sz w:val="14"/>
          <w:szCs w:val="14"/>
        </w:rPr>
        <w:t xml:space="preserve"> Power is exercised with respect to and over others</w:t>
      </w:r>
      <w:r w:rsidRPr="00EA1B63">
        <w:rPr>
          <w:rStyle w:val="Emphasis"/>
          <w:rFonts w:asciiTheme="majorHAnsi" w:hAnsiTheme="majorHAnsi" w:cstheme="majorHAnsi"/>
          <w:highlight w:val="cyan"/>
        </w:rPr>
        <w:t xml:space="preserve">. Creativity is </w:t>
      </w:r>
      <w:r w:rsidRPr="00EA1B63">
        <w:rPr>
          <w:rFonts w:asciiTheme="majorHAnsi" w:hAnsiTheme="majorHAnsi" w:cstheme="majorHAnsi"/>
          <w:sz w:val="14"/>
        </w:rPr>
        <w:t>always reflexive and is</w:t>
      </w:r>
      <w:r w:rsidRPr="00EA1B63">
        <w:rPr>
          <w:rStyle w:val="Emphasis"/>
          <w:rFonts w:asciiTheme="majorHAnsi" w:hAnsiTheme="majorHAnsi" w:cstheme="majorHAnsi"/>
          <w:highlight w:val="cyan"/>
        </w:rPr>
        <w:t xml:space="preserve"> exercised </w:t>
      </w:r>
      <w:r w:rsidRPr="00EA1B63">
        <w:rPr>
          <w:rFonts w:asciiTheme="majorHAnsi" w:hAnsiTheme="majorHAnsi" w:cstheme="majorHAnsi"/>
          <w:sz w:val="14"/>
        </w:rPr>
        <w:t>over and</w:t>
      </w:r>
      <w:r w:rsidRPr="00EA1B63">
        <w:rPr>
          <w:rStyle w:val="Emphasis"/>
          <w:rFonts w:asciiTheme="majorHAnsi" w:hAnsiTheme="majorHAnsi" w:cstheme="majorHAnsi"/>
          <w:highlight w:val="cyan"/>
        </w:rPr>
        <w:t xml:space="preserve"> with respect to “self.” </w:t>
      </w:r>
      <w:r w:rsidRPr="00EA1B63">
        <w:rPr>
          <w:rFonts w:asciiTheme="majorHAnsi" w:hAnsiTheme="majorHAnsi" w:cstheme="majorHAnsi"/>
          <w:sz w:val="14"/>
        </w:rPr>
        <w:t>And since</w:t>
      </w:r>
      <w:r w:rsidRPr="00EA1B63">
        <w:rPr>
          <w:rStyle w:val="Emphasis"/>
          <w:rFonts w:asciiTheme="majorHAnsi" w:hAnsiTheme="majorHAnsi" w:cstheme="majorHAnsi"/>
          <w:highlight w:val="cyan"/>
        </w:rPr>
        <w:t xml:space="preserve"> self in a processive world is always communal, creativity is contextual, transactional, and multidimensional. </w:t>
      </w:r>
      <w:r w:rsidRPr="00EA1B63">
        <w:rPr>
          <w:rFonts w:asciiTheme="majorHAnsi" w:hAnsiTheme="majorHAnsi" w:cstheme="majorHAnsi"/>
          <w:sz w:val="14"/>
        </w:rPr>
        <w:t xml:space="preserve">Thus </w:t>
      </w:r>
      <w:r w:rsidRPr="00EA1B63">
        <w:rPr>
          <w:rStyle w:val="Emphasis"/>
          <w:rFonts w:asciiTheme="majorHAnsi" w:hAnsiTheme="majorHAnsi" w:cstheme="majorHAnsi"/>
          <w:highlight w:val="cyan"/>
        </w:rPr>
        <w:t xml:space="preserve">creativity is both self-creativity and co- creativity. </w:t>
      </w:r>
      <w:r w:rsidRPr="00EA1B63">
        <w:rPr>
          <w:rFonts w:asciiTheme="majorHAnsi" w:hAnsiTheme="majorHAnsi" w:cstheme="majorHAnsi"/>
          <w:sz w:val="14"/>
        </w:rPr>
        <w:t xml:space="preserve">Either everything shares in creativity, or there is no creativity. Indeed, it is </w:t>
      </w:r>
      <w:r w:rsidRPr="00EA1B63">
        <w:rPr>
          <w:rStyle w:val="Emphasis"/>
          <w:rFonts w:asciiTheme="majorHAnsi" w:hAnsiTheme="majorHAnsi" w:cstheme="majorHAnsi"/>
          <w:highlight w:val="cyan"/>
        </w:rPr>
        <w:t>this transactional, co-creative character of all creative processes that precludes the project of self-cultivation and self-creation from being egoistic.</w:t>
      </w:r>
      <w:r w:rsidRPr="00EA1B63">
        <w:rPr>
          <w:rFonts w:asciiTheme="majorHAnsi" w:eastAsia="Times New Roman" w:hAnsiTheme="majorHAnsi" w:cstheme="majorHAnsi"/>
          <w:b/>
          <w:bCs/>
          <w:color w:val="000000"/>
          <w:sz w:val="24"/>
          <w:u w:val="single"/>
          <w:shd w:val="clear" w:color="auto" w:fill="90F2F4"/>
        </w:rPr>
        <w:t xml:space="preserve"> </w:t>
      </w:r>
      <w:r w:rsidRPr="00EA1B63">
        <w:rPr>
          <w:rFonts w:asciiTheme="majorHAnsi" w:eastAsia="Times New Roman" w:hAnsiTheme="majorHAnsi" w:cstheme="majorHAnsi"/>
          <w:color w:val="000000"/>
          <w:sz w:val="14"/>
          <w:szCs w:val="14"/>
        </w:rPr>
        <w:t xml:space="preserve">One further point can be made with respect to the creativity that the spontaneous emergence of novelty makes possible. The radical sense of creativity that we associate with “bringing into being” in a creatio ex nihilo sensibility is too isolated and extreme for this idea within the Daoist tradition. </w:t>
      </w:r>
      <w:r w:rsidRPr="00EA1B63">
        <w:rPr>
          <w:rFonts w:asciiTheme="majorHAnsi" w:hAnsiTheme="majorHAnsi" w:cstheme="majorHAnsi"/>
          <w:sz w:val="14"/>
        </w:rPr>
        <w:t>The term dao, like the terms “building,” “learning,” and “work,” entails both the process and the created product. It is the locus and the time frame within which the always contextualized creativity takes place. When the Zhuangzi observes that “we are one with all things ,” this insight is a recognition that each and every unique phenomenon is continuous with every other phenomenon within one’s eld of experience</w:t>
      </w:r>
      <w:r w:rsidRPr="00EA1B63">
        <w:rPr>
          <w:rFonts w:asciiTheme="majorHAnsi" w:eastAsia="Times New Roman" w:hAnsiTheme="majorHAnsi" w:cstheme="majorHAnsi"/>
          <w:color w:val="000000"/>
          <w:sz w:val="14"/>
          <w:szCs w:val="14"/>
        </w:rPr>
        <w:t>. But is this an exhaustive claim: are we talking about all phenomena in the continuing present? Because the world is processional and because its creativity is ab initio rather than ex nihilo—a contextual creativity expressed across the careers of its constitutive phenomena—any answer to this question would have to be provisional. Phenomena are never either atomistically discrete or complete. The Zhuangzi recounts </w:t>
      </w:r>
    </w:p>
    <w:p w14:paraId="6586F901" w14:textId="77777777" w:rsidR="00CF204C" w:rsidRPr="00EA1B63" w:rsidRDefault="00CF204C" w:rsidP="00CF204C">
      <w:pPr>
        <w:pStyle w:val="Heading4"/>
        <w:rPr>
          <w:rFonts w:asciiTheme="majorHAnsi" w:hAnsiTheme="majorHAnsi" w:cstheme="majorHAnsi"/>
        </w:rPr>
      </w:pPr>
      <w:r w:rsidRPr="00EA1B63">
        <w:rPr>
          <w:rFonts w:asciiTheme="majorHAnsi" w:hAnsiTheme="majorHAnsi" w:cstheme="majorHAnsi"/>
        </w:rPr>
        <w:t>The deferential disposition crafts habit forming which makes creativity permanent and easy to adopt</w:t>
      </w:r>
    </w:p>
    <w:p w14:paraId="113F7F34" w14:textId="77777777" w:rsidR="005D60B2" w:rsidRPr="00EA1B63" w:rsidRDefault="005D60B2" w:rsidP="005D60B2">
      <w:pPr>
        <w:rPr>
          <w:rFonts w:asciiTheme="majorHAnsi" w:hAnsiTheme="majorHAnsi" w:cstheme="majorHAnsi"/>
        </w:rPr>
      </w:pPr>
      <w:r w:rsidRPr="00EA1B63">
        <w:rPr>
          <w:rStyle w:val="Style13ptBold"/>
          <w:rFonts w:asciiTheme="majorHAnsi" w:hAnsiTheme="majorHAnsi" w:cstheme="majorHAnsi"/>
        </w:rPr>
        <w:t xml:space="preserve">Ames and Hall 10. </w:t>
      </w:r>
      <w:r w:rsidRPr="00EA1B63">
        <w:rPr>
          <w:rFonts w:asciiTheme="majorHAnsi" w:hAnsiTheme="majorHAnsi" w:cstheme="majorHAnsi"/>
        </w:rPr>
        <w:t xml:space="preserve">Roger Ames and David Hall (Ames is a Canadian philosopher at the University of Peking. Hall was a professor of philosophy at the University of Texas), 2010, “Daodejing: Making this Life Significant,” Ballantine Books, I have a pdf, r0w@n </w:t>
      </w:r>
    </w:p>
    <w:p w14:paraId="054507E5" w14:textId="77777777" w:rsidR="00CF204C" w:rsidRPr="00EA1B63" w:rsidRDefault="00CF204C" w:rsidP="00CF204C">
      <w:pPr>
        <w:rPr>
          <w:rFonts w:asciiTheme="majorHAnsi" w:hAnsiTheme="majorHAnsi" w:cstheme="majorHAnsi"/>
          <w:sz w:val="16"/>
        </w:rPr>
      </w:pPr>
    </w:p>
    <w:p w14:paraId="444C9F54" w14:textId="6B62A9EF" w:rsidR="00CF204C" w:rsidRPr="00EA1B63" w:rsidRDefault="00CF204C" w:rsidP="00CF204C">
      <w:pPr>
        <w:rPr>
          <w:rFonts w:asciiTheme="majorHAnsi" w:hAnsiTheme="majorHAnsi" w:cstheme="majorHAnsi"/>
          <w:sz w:val="16"/>
        </w:rPr>
      </w:pPr>
      <w:r w:rsidRPr="00EA1B63">
        <w:rPr>
          <w:rFonts w:asciiTheme="majorHAnsi" w:hAnsiTheme="majorHAnsi" w:cstheme="majorHAnsi"/>
          <w:sz w:val="16"/>
        </w:rPr>
        <w:t xml:space="preserve">If we look for </w:t>
      </w:r>
      <w:r w:rsidRPr="00EA1B63">
        <w:rPr>
          <w:rStyle w:val="Emphasis"/>
          <w:rFonts w:asciiTheme="majorHAnsi" w:hAnsiTheme="majorHAnsi" w:cstheme="majorHAnsi"/>
          <w:highlight w:val="cyan"/>
        </w:rPr>
        <w:t>a more concrete way to express the cultivation of the wu-form disposition</w:t>
      </w:r>
      <w:r w:rsidRPr="00EA1B63">
        <w:rPr>
          <w:rFonts w:asciiTheme="majorHAnsi" w:hAnsiTheme="majorHAnsi" w:cstheme="majorHAnsi"/>
          <w:sz w:val="16"/>
        </w:rPr>
        <w:t xml:space="preserve"> advocated by the Daodejing, we might think of “</w:t>
      </w:r>
      <w:r w:rsidRPr="00EA1B63">
        <w:rPr>
          <w:rStyle w:val="Emphasis"/>
          <w:rFonts w:asciiTheme="majorHAnsi" w:hAnsiTheme="majorHAnsi" w:cstheme="majorHAnsi"/>
          <w:highlight w:val="cyan"/>
        </w:rPr>
        <w:t>life as art</w:t>
      </w:r>
      <w:r w:rsidRPr="00EA1B63">
        <w:rPr>
          <w:rFonts w:asciiTheme="majorHAnsi" w:hAnsiTheme="majorHAnsi" w:cstheme="majorHAnsi"/>
          <w:sz w:val="16"/>
        </w:rPr>
        <w:t xml:space="preserve">.” </w:t>
      </w:r>
      <w:r w:rsidRPr="00EA1B63">
        <w:rPr>
          <w:rStyle w:val="Emphasis"/>
          <w:rFonts w:asciiTheme="majorHAnsi" w:hAnsiTheme="majorHAnsi" w:cstheme="majorHAnsi"/>
          <w:highlight w:val="cyan"/>
        </w:rPr>
        <w:t xml:space="preserve">The developed customs and habits of mind </w:t>
      </w:r>
      <w:r w:rsidRPr="00EA1B63">
        <w:rPr>
          <w:rStyle w:val="Emphasis"/>
          <w:rFonts w:asciiTheme="majorHAnsi" w:hAnsiTheme="majorHAnsi" w:cstheme="majorHAnsi"/>
          <w:highlight w:val="cyan"/>
        </w:rPr>
        <w:lastRenderedPageBreak/>
        <w:t>of the Daoist</w:t>
      </w:r>
      <w:r w:rsidRPr="00EA1B63">
        <w:rPr>
          <w:rFonts w:asciiTheme="majorHAnsi" w:hAnsiTheme="majorHAnsi" w:cstheme="majorHAnsi"/>
          <w:sz w:val="16"/>
        </w:rPr>
        <w:t xml:space="preserve"> are a resource that conditions, infl</w:t>
      </w:r>
      <w:r w:rsidRPr="00EA1B63">
        <w:rPr>
          <w:rFonts w:asciiTheme="majorHAnsi" w:hAnsiTheme="majorHAnsi" w:cstheme="majorHAnsi"/>
          <w:sz w:val="16"/>
        </w:rPr>
        <w:pgNum/>
      </w:r>
      <w:r w:rsidRPr="00EA1B63">
        <w:rPr>
          <w:rFonts w:asciiTheme="majorHAnsi" w:hAnsiTheme="majorHAnsi" w:cstheme="majorHAnsi"/>
          <w:sz w:val="16"/>
        </w:rPr>
        <w:t xml:space="preserve">uences, and attempts to </w:t>
      </w:r>
      <w:r w:rsidRPr="00EA1B63">
        <w:rPr>
          <w:rStyle w:val="Emphasis"/>
          <w:rFonts w:asciiTheme="majorHAnsi" w:hAnsiTheme="majorHAnsi" w:cstheme="majorHAnsi"/>
          <w:highlight w:val="cyan"/>
        </w:rPr>
        <w:t>optimize the range of creative possibilities without in fact causally determining the crafting of novel experiences</w:t>
      </w:r>
      <w:r w:rsidRPr="00EA1B63">
        <w:rPr>
          <w:rFonts w:asciiTheme="majorHAnsi" w:hAnsiTheme="majorHAnsi" w:cstheme="majorHAnsi"/>
          <w:sz w:val="16"/>
        </w:rPr>
        <w:t>. Such aggregated habits are irreducibly social, and are the unannounced social propensity out of which individual hearts-and-minds express themselves as overt actions. For example, the insistent particularity associated with the uniqueness of a particular person must be understood both relationally and as a dynamic process within the context of a given natural, social, and cultural world. Particular character is an inter- penetration of habits that has organized and made meaningful the more primary but not more important natural impulses. Considered synchronically, persons are irreducibly relational, entailing what they do for this specifi</w:t>
      </w:r>
      <w:r w:rsidRPr="00EA1B63">
        <w:rPr>
          <w:rFonts w:asciiTheme="majorHAnsi" w:hAnsiTheme="majorHAnsi" w:cstheme="majorHAnsi"/>
          <w:sz w:val="16"/>
        </w:rPr>
        <w:pgNum/>
      </w:r>
      <w:r w:rsidRPr="00EA1B63">
        <w:rPr>
          <w:rFonts w:asciiTheme="majorHAnsi" w:hAnsiTheme="majorHAnsi" w:cstheme="majorHAnsi"/>
          <w:sz w:val="16"/>
        </w:rPr>
        <w:t>c community as well as the personal enrichment they derive from participating in its communal life- forms and culture. Viewed diachronically, each particular personality must also be understood as an ongoing and unrelenting awareness that attends every gesture and thought, and that is expressed as a re</w:t>
      </w:r>
      <w:r w:rsidRPr="00EA1B63">
        <w:rPr>
          <w:rFonts w:asciiTheme="majorHAnsi" w:hAnsiTheme="majorHAnsi" w:cstheme="majorHAnsi"/>
          <w:sz w:val="16"/>
        </w:rPr>
        <w:pgNum/>
      </w:r>
      <w:r w:rsidRPr="00EA1B63">
        <w:rPr>
          <w:rFonts w:asciiTheme="majorHAnsi" w:hAnsiTheme="majorHAnsi" w:cstheme="majorHAnsi"/>
          <w:sz w:val="16"/>
        </w:rPr>
        <w:t xml:space="preserve">ned disposition in all of its activities. For the classical Confucian, this ritualized awareness (li </w:t>
      </w:r>
      <w:r w:rsidRPr="00EA1B63">
        <w:rPr>
          <w:rFonts w:asciiTheme="majorHAnsi" w:hAnsiTheme="majorHAnsi" w:cstheme="majorHAnsi"/>
          <w:sz w:val="16"/>
        </w:rPr>
        <w:fldChar w:fldCharType="begin"/>
      </w:r>
      <w:r w:rsidRPr="00EA1B63">
        <w:rPr>
          <w:rFonts w:asciiTheme="majorHAnsi" w:hAnsiTheme="majorHAnsi" w:cstheme="majorHAnsi"/>
          <w:sz w:val="16"/>
        </w:rPr>
        <w:instrText xml:space="preserve"> INCLUDEPICTURE "/var/folders/q0/ktrh288572v7czj7pwywn_6c0000gn/T/com.microsoft.Word/WebArchiveCopyPasteTempFiles/page61image62594368" \* MERGEFORMATINET </w:instrText>
      </w:r>
      <w:r w:rsidRPr="00EA1B63">
        <w:rPr>
          <w:rFonts w:asciiTheme="majorHAnsi" w:hAnsiTheme="majorHAnsi" w:cstheme="majorHAnsi"/>
          <w:sz w:val="16"/>
        </w:rPr>
        <w:fldChar w:fldCharType="separate"/>
      </w:r>
      <w:r w:rsidRPr="00EA1B63">
        <w:rPr>
          <w:rFonts w:asciiTheme="majorHAnsi" w:hAnsiTheme="majorHAnsi" w:cstheme="majorHAnsi"/>
          <w:noProof/>
          <w:sz w:val="16"/>
        </w:rPr>
        <w:drawing>
          <wp:inline distT="0" distB="0" distL="0" distR="0" wp14:anchorId="4A8929C3" wp14:editId="0B140C4A">
            <wp:extent cx="167640" cy="152400"/>
            <wp:effectExtent l="0" t="0" r="0" b="0"/>
            <wp:docPr id="149" name="Picture 149" descr="page61image6259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1image625943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rsidRPr="00EA1B63">
        <w:rPr>
          <w:rFonts w:asciiTheme="majorHAnsi" w:hAnsiTheme="majorHAnsi" w:cstheme="majorHAnsi"/>
          <w:sz w:val="16"/>
        </w:rPr>
        <w:fldChar w:fldCharType="end"/>
      </w:r>
      <w:r w:rsidRPr="00EA1B63">
        <w:rPr>
          <w:rFonts w:asciiTheme="majorHAnsi" w:hAnsiTheme="majorHAnsi" w:cstheme="majorHAnsi"/>
          <w:sz w:val="16"/>
        </w:rPr>
        <w:t>)—the living of one’s life within the roles and relationships of family and community—focuses one’s aggregated habits as they are expressed in the events of the day. We have re</w:t>
      </w:r>
      <w:r w:rsidRPr="00EA1B63">
        <w:rPr>
          <w:rFonts w:asciiTheme="majorHAnsi" w:hAnsiTheme="majorHAnsi" w:cstheme="majorHAnsi"/>
          <w:sz w:val="16"/>
        </w:rPr>
        <w:pgNum/>
      </w:r>
      <w:r w:rsidRPr="00EA1B63">
        <w:rPr>
          <w:rFonts w:asciiTheme="majorHAnsi" w:hAnsiTheme="majorHAnsi" w:cstheme="majorHAnsi"/>
          <w:sz w:val="16"/>
        </w:rPr>
        <w:t>ected on this Confucian notion of disposition at some length in our Focusing the Familiar: A Translation and Philosophical Interpretation of the Zhongyong, and attempt to locate the Daoist sensibility within this discussion here. To begin with, for the Daoist, this focused awareness is extended beyond the immediate human community to encompass the other environments as well. The habit-informed interactions between person and environments occur within custom and culture broadly construed. This ecological sensibility is what gives Daoist philosophy its profoundly cosmic dimension. To use the word “habits” to characterize either the Confucian li or the Daoist ecological sensibility might seem, initially, somewhat disenchanting, reducing the intense and elegantly productive human experience, whether human-centered or more broadly construed, to the ordinary and routine. But the claim at issue is that it is precisely in the elevation of the routine and ordinary business of the day, rather than in some ephemeral and transitory “momentous” events, that the profound meanings of a life are to be realized. And, properly understood, “habit” is essential to this process of enchanting the everyday. We are accustomed to think of habit in a negative manner as mere routine, or as compulsively repetitive behavior that we would alter if only we had the willpower. That is, we are inclined to place habit squarely within the sphere of determined behavior. Indeed, habit as acquired disposition is of no great signi</w:t>
      </w:r>
      <w:r w:rsidRPr="00EA1B63">
        <w:rPr>
          <w:rFonts w:asciiTheme="majorHAnsi" w:hAnsiTheme="majorHAnsi" w:cstheme="majorHAnsi"/>
          <w:sz w:val="16"/>
        </w:rPr>
        <w:pgNum/>
      </w:r>
      <w:r w:rsidRPr="00EA1B63">
        <w:rPr>
          <w:rFonts w:asciiTheme="majorHAnsi" w:hAnsiTheme="majorHAnsi" w:cstheme="majorHAnsi"/>
          <w:sz w:val="16"/>
        </w:rPr>
        <w:t>ficance if one understands the order of the world to be the result of a transcendent Creator, or as the mechanical instancing of transcendent Laws of Nature. For in such cases, habitual actions merely replicate the necessities of things; they are the involuntary expression of our given instincts and needs. It is only if the world is truly processive and changing in character that acquired dispositions may become a constitutive ground of the way things are. Understanding the Daoist-re</w:t>
      </w:r>
      <w:r w:rsidRPr="00EA1B63">
        <w:rPr>
          <w:rFonts w:asciiTheme="majorHAnsi" w:hAnsiTheme="majorHAnsi" w:cstheme="majorHAnsi"/>
          <w:sz w:val="16"/>
        </w:rPr>
        <w:pgNum/>
      </w:r>
      <w:r w:rsidRPr="00EA1B63">
        <w:rPr>
          <w:rFonts w:asciiTheme="majorHAnsi" w:hAnsiTheme="majorHAnsi" w:cstheme="majorHAnsi"/>
          <w:sz w:val="16"/>
        </w:rPr>
        <w:t>fined ecological consciousness as habitual behavior will be of bene</w:t>
      </w:r>
      <w:r w:rsidRPr="00EA1B63">
        <w:rPr>
          <w:rFonts w:asciiTheme="majorHAnsi" w:hAnsiTheme="majorHAnsi" w:cstheme="majorHAnsi"/>
          <w:sz w:val="16"/>
        </w:rPr>
        <w:pgNum/>
      </w:r>
      <w:r w:rsidRPr="00EA1B63">
        <w:rPr>
          <w:rFonts w:asciiTheme="majorHAnsi" w:hAnsiTheme="majorHAnsi" w:cstheme="majorHAnsi"/>
          <w:sz w:val="16"/>
        </w:rPr>
        <w:t xml:space="preserve">t only if we rethink our own accepted senses of habit. Hexis was used initially by Aristotle as a neologism. The Greek hexus means “having” or “being in possession of.” Early on, hexis also had the suggestion of both “condition” and the “state” of something. It was thus used dispositionally to mean the natural or conditioned “tendencies” of things—as the “habit” of a vine. Aristotle himself sometimes uses hexis to refer to the natural or innate behavior of creatures. If we combine the senses of “habit” as that which is had—as a state or condition that something takes on, and as its consequent tendency—we arrive at the sense of the term that is found most prominently in the American pragmatic tradition. John Dewey contrasts habit with essentialized notions of human nature and reason that are the backdrop of deterministic instinct theory, insisting that “the meaning of native activities is not native; it is acquired.”24 We are our habits, and they possess us rather than we them. So for Dewey, “the real opposition is not between reason and habit but between routine, unintelligent habit, and intelligent habit or art.”25 </w:t>
      </w:r>
      <w:r w:rsidRPr="00EA1B63">
        <w:rPr>
          <w:rStyle w:val="Emphasis"/>
          <w:rFonts w:asciiTheme="majorHAnsi" w:hAnsiTheme="majorHAnsi" w:cstheme="majorHAnsi"/>
          <w:highlight w:val="cyan"/>
        </w:rPr>
        <w:t>Habit is</w:t>
      </w:r>
      <w:r w:rsidRPr="00EA1B63">
        <w:rPr>
          <w:rFonts w:asciiTheme="majorHAnsi" w:hAnsiTheme="majorHAnsi" w:cstheme="majorHAnsi"/>
          <w:sz w:val="16"/>
        </w:rPr>
        <w:t xml:space="preserve"> an acquired and cultivated disposition to act in one way as opposed to another. It is </w:t>
      </w:r>
      <w:r w:rsidRPr="00EA1B63">
        <w:rPr>
          <w:rStyle w:val="Emphasis"/>
          <w:rFonts w:asciiTheme="majorHAnsi" w:hAnsiTheme="majorHAnsi" w:cstheme="majorHAnsi"/>
          <w:highlight w:val="cyan"/>
        </w:rPr>
        <w:t>the significant form that bursts of energy take</w:t>
      </w:r>
      <w:r w:rsidRPr="00EA1B63">
        <w:rPr>
          <w:rFonts w:asciiTheme="majorHAnsi" w:hAnsiTheme="majorHAnsi" w:cstheme="majorHAnsi"/>
          <w:sz w:val="16"/>
        </w:rPr>
        <w:t xml:space="preserve"> as they are channeled through existing patterns of associated living</w:t>
      </w:r>
      <w:r w:rsidRPr="00EA1B63">
        <w:rPr>
          <w:rStyle w:val="Emphasis"/>
          <w:rFonts w:asciiTheme="majorHAnsi" w:hAnsiTheme="majorHAnsi" w:cstheme="majorHAnsi"/>
          <w:highlight w:val="cyan"/>
        </w:rPr>
        <w:t>, dependent upon anticipated response as much as novel impulse.</w:t>
      </w:r>
      <w:r w:rsidRPr="00EA1B63">
        <w:rPr>
          <w:rFonts w:asciiTheme="majorHAnsi" w:hAnsiTheme="majorHAnsi" w:cstheme="majorHAnsi"/>
          <w:sz w:val="16"/>
        </w:rPr>
        <w:t xml:space="preserve"> It is certainly not counterintuitive to understand habit in this creative sense. Most individuals would recognize the peculiar contribution of technique to artistic endeavor. Without the ability to mentally parse and physically play musical notes and chords in a stylized fashion, neither composition nor performance would be possible. Technique, as pre-re</w:t>
      </w:r>
      <w:r w:rsidRPr="00EA1B63">
        <w:rPr>
          <w:rFonts w:asciiTheme="majorHAnsi" w:hAnsiTheme="majorHAnsi" w:cstheme="majorHAnsi"/>
          <w:sz w:val="16"/>
        </w:rPr>
        <w:pgNum/>
      </w:r>
      <w:r w:rsidRPr="00EA1B63">
        <w:rPr>
          <w:rFonts w:asciiTheme="majorHAnsi" w:hAnsiTheme="majorHAnsi" w:cstheme="majorHAnsi"/>
          <w:sz w:val="16"/>
        </w:rPr>
        <w:t xml:space="preserve">flective and dispositional, frees the artist to perform and to create. This same relationship to spontaneity is realized throughout one’s experience </w:t>
      </w:r>
    </w:p>
    <w:p w14:paraId="743D33A3" w14:textId="1221C3D5" w:rsidR="00287135" w:rsidRPr="00EA1B63" w:rsidRDefault="00287135" w:rsidP="00287135">
      <w:pPr>
        <w:pStyle w:val="Heading4"/>
      </w:pPr>
      <w:r w:rsidRPr="00EA1B63">
        <w:t>Conceptualizations of property control desires</w:t>
      </w:r>
      <w:r w:rsidR="00BB1CB2">
        <w:t>- forgetting structures overwhelms the language barrier that makes all other reformation fail</w:t>
      </w:r>
    </w:p>
    <w:p w14:paraId="6AF2FA09" w14:textId="77777777" w:rsidR="00287135" w:rsidRPr="00EA1B63" w:rsidRDefault="00287135" w:rsidP="00287135">
      <w:r w:rsidRPr="00EA1B63">
        <w:t xml:space="preserve">Hansen, </w:t>
      </w:r>
      <w:r w:rsidRPr="00EA1B63">
        <w:rPr>
          <w:rStyle w:val="Style13ptBold"/>
        </w:rPr>
        <w:t>Chad, 3</w:t>
      </w:r>
      <w:r w:rsidRPr="00EA1B63">
        <w:t>, Daoism (Stanford Encyclopedia of Philosophy), No Publication, 2-19-2003, DOA: 9-4-2021, https://plato.stanford.edu/entries/daoism/, r0w@n</w:t>
      </w:r>
    </w:p>
    <w:p w14:paraId="1AE64517" w14:textId="0B13051F" w:rsidR="00287135" w:rsidRPr="00BD2178" w:rsidRDefault="00287135" w:rsidP="00287135">
      <w:pPr>
        <w:rPr>
          <w:sz w:val="16"/>
        </w:rPr>
      </w:pPr>
      <w:r w:rsidRPr="00EA1B63">
        <w:rPr>
          <w:sz w:val="16"/>
        </w:rPr>
        <w:t xml:space="preserve">With the importation of Indo-European Buddhism from India, wu-wei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You-wei (Kang have-wei) took the denial of the slogan as his scholarly name. </w:t>
      </w:r>
      <w:r w:rsidRPr="00EA1B63">
        <w:rPr>
          <w:rFonts w:hint="eastAsia"/>
          <w:sz w:val="16"/>
        </w:rPr>
        <w:t xml:space="preserve">9.5 Pusimplicity (Pre-linguistic Purity) </w:t>
      </w:r>
      <w:r w:rsidRPr="00EA1B63">
        <w:rPr>
          <w:rFonts w:hint="eastAsia"/>
          <w:sz w:val="16"/>
        </w:rPr>
        <w:t>樸</w:t>
      </w:r>
      <w:r w:rsidRPr="00EA1B63">
        <w:rPr>
          <w:rFonts w:hint="eastAsia"/>
          <w:sz w:val="16"/>
        </w:rPr>
        <w:t xml:space="preserve"> </w:t>
      </w:r>
      <w:r w:rsidRPr="00EA1B63">
        <w:rPr>
          <w:sz w:val="16"/>
        </w:rPr>
        <w:t>The Daoist “primitivist” ideal as expressed mainly in the Laozi. It metaphorically represents the result of forgetting mingnames and desires</w:t>
      </w:r>
      <w:r w:rsidRPr="00EA1B63">
        <w:rPr>
          <w:rStyle w:val="Emphasis"/>
        </w:rPr>
        <w:t xml:space="preserve"> </w:t>
      </w:r>
      <w:r w:rsidRPr="00EA1B63">
        <w:rPr>
          <w:sz w:val="16"/>
        </w:rPr>
        <w:t xml:space="preserve">(See Wu-wei). Translations include simplicity, “raw” wood, and D. C. Lau’s more elaborate “uncarved block.” The detailed translation more sensitively expresses Laozi’s point in using the </w:t>
      </w:r>
      <w:r w:rsidRPr="00EA1B63">
        <w:rPr>
          <w:sz w:val="16"/>
        </w:rPr>
        <w:lastRenderedPageBreak/>
        <w:t>metaphor in the context of a view of names as “cutting” things into types and Laozi’s distinctive theory that such</w:t>
      </w:r>
      <w:r w:rsidRPr="00EA1B63">
        <w:rPr>
          <w:rStyle w:val="Emphasis"/>
          <w:highlight w:val="cyan"/>
        </w:rPr>
        <w:t xml:space="preserve"> socially constructed distinctions (institutions) control us by controlling our desires. When societies adopt </w:t>
      </w:r>
      <w:r w:rsidRPr="00EA1B63">
        <w:rPr>
          <w:sz w:val="16"/>
        </w:rPr>
        <w:t xml:space="preserve">names or terms, </w:t>
      </w:r>
      <w:r w:rsidRPr="00EA1B63">
        <w:rPr>
          <w:rStyle w:val="Emphasis"/>
          <w:highlight w:val="cyan"/>
        </w:rPr>
        <w:t xml:space="preserve">it does so </w:t>
      </w:r>
      <w:r w:rsidRPr="00EA1B63">
        <w:rPr>
          <w:sz w:val="16"/>
        </w:rPr>
        <w:t>in order</w:t>
      </w:r>
      <w:r w:rsidRPr="00EA1B63">
        <w:rPr>
          <w:rStyle w:val="Emphasis"/>
          <w:highlight w:val="cyan"/>
        </w:rPr>
        <w:t xml:space="preserve"> to </w:t>
      </w:r>
      <w:r w:rsidRPr="00EA1B63">
        <w:rPr>
          <w:sz w:val="16"/>
        </w:rPr>
        <w:t>instill and</w:t>
      </w:r>
      <w:r w:rsidRPr="00EA1B63">
        <w:rPr>
          <w:rStyle w:val="Emphasis"/>
          <w:highlight w:val="cyan"/>
        </w:rPr>
        <w:t xml:space="preserve"> regulate desires for one of the pair created by the name-induced distinction. </w:t>
      </w:r>
      <w:r w:rsidRPr="00EA1B63">
        <w:rPr>
          <w:sz w:val="16"/>
        </w:rPr>
        <w:t>Thus</w:t>
      </w:r>
      <w:r w:rsidRPr="00EA1B63">
        <w:rPr>
          <w:rStyle w:val="Emphasis"/>
          <w:highlight w:val="cyan"/>
        </w:rPr>
        <w:t xml:space="preserve"> Daoist forgetting requires forgetting names and distinctions, but in doing so, frees itself from the socially induced, unnatural desires that cause strife and unhappiness in society</w:t>
      </w:r>
      <w:r w:rsidRPr="00EA1B63">
        <w:rPr>
          <w:sz w:val="16"/>
        </w:rPr>
        <w:t xml:space="preserve"> (e.g. status, rare objects, fame, authority). Hence: “The Nameless uncarved block thus amounts to freedom from desire.” (Daode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40D88912" w14:textId="13F927BE" w:rsidR="00BA413F" w:rsidRPr="00EA36DB" w:rsidRDefault="00BA413F" w:rsidP="00BA413F">
      <w:pPr>
        <w:pStyle w:val="Heading4"/>
      </w:pPr>
      <w:r>
        <w:t>Changing conceptualizations of ‘the self’ and ‘property’ fixes rationalism- it lets us operate outside of traditional worldviews</w:t>
      </w:r>
      <w:r w:rsidR="00E95E76">
        <w:t>- also lets us overthrow debate norms coherently and completely</w:t>
      </w:r>
    </w:p>
    <w:p w14:paraId="4E0F5127" w14:textId="77777777" w:rsidR="00BA413F" w:rsidRPr="00EA36DB" w:rsidRDefault="00BA413F" w:rsidP="00BA413F">
      <w:r w:rsidRPr="00EA36DB">
        <w:rPr>
          <w:rStyle w:val="Style13ptBold"/>
        </w:rPr>
        <w:t>Pettman 05</w:t>
      </w:r>
      <w:r w:rsidRPr="00EA36DB">
        <w:t xml:space="preserve">, Ralf Pettman, Taoism and The Concept of Global Security, International Relations of the Asian-Pacific, 2005, </w:t>
      </w:r>
      <w:hyperlink r:id="rId36" w:history="1">
        <w:r w:rsidRPr="00EA36DB">
          <w:rPr>
            <w:rStyle w:val="Hyperlink"/>
          </w:rPr>
          <w:t>https://sci-hub.se/https://doi.org/10.1093/irap/lci103</w:t>
        </w:r>
      </w:hyperlink>
      <w:r w:rsidRPr="00EA36DB">
        <w:t>, r0w@n</w:t>
      </w:r>
    </w:p>
    <w:p w14:paraId="3CA9284C" w14:textId="77777777" w:rsidR="00BA413F" w:rsidRPr="000F3B52" w:rsidRDefault="00BA413F" w:rsidP="00BA413F">
      <w:pPr>
        <w:rPr>
          <w:sz w:val="14"/>
        </w:rPr>
      </w:pPr>
      <w:r w:rsidRPr="000F3B52">
        <w:rPr>
          <w:sz w:val="14"/>
        </w:rPr>
        <w:t xml:space="preserve">Specific comparisons of Taoist and non-Taoist approaches to global security Having briefly tried to define Taoism and the </w:t>
      </w:r>
      <w:proofErr w:type="gramStart"/>
      <w:r w:rsidRPr="000F3B52">
        <w:rPr>
          <w:sz w:val="14"/>
        </w:rPr>
        <w:t>Tao, and</w:t>
      </w:r>
      <w:proofErr w:type="gramEnd"/>
      <w:r w:rsidRPr="000F3B52">
        <w:rPr>
          <w:sz w:val="14"/>
        </w:rPr>
        <w:t xml:space="preserve">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w:t>
      </w:r>
      <w:proofErr w:type="gramStart"/>
      <w:r w:rsidRPr="000F3B52">
        <w:rPr>
          <w:sz w:val="14"/>
        </w:rPr>
        <w:t>The</w:t>
      </w:r>
      <w:proofErr w:type="gramEnd"/>
      <w:r w:rsidRPr="000F3B52">
        <w:rPr>
          <w:sz w:val="14"/>
        </w:rPr>
        <w:t xml:space="preserve"> profundity of the concept of the Tao seems to preclude us from using Taoism to describe its meaning in logical, empirical, analytical terms. As a </w:t>
      </w:r>
      <w:proofErr w:type="gramStart"/>
      <w:r w:rsidRPr="000F3B52">
        <w:rPr>
          <w:sz w:val="14"/>
        </w:rPr>
        <w:t>consequence</w:t>
      </w:r>
      <w:proofErr w:type="gramEnd"/>
      <w:r w:rsidRPr="000F3B52">
        <w:rPr>
          <w:sz w:val="14"/>
        </w:rPr>
        <w:t xml:space="preserv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0F3B52">
        <w:rPr>
          <w:sz w:val="14"/>
        </w:rPr>
        <w:t>neighbour</w:t>
      </w:r>
      <w:proofErr w:type="spellEnd"/>
      <w:r w:rsidRPr="000F3B52">
        <w:rPr>
          <w:sz w:val="14"/>
        </w:rPr>
        <w:t xml:space="preserve"> looking under a lamplight some distance away. After asking what the drunk is doing, and where he lost his key, the </w:t>
      </w:r>
      <w:proofErr w:type="spellStart"/>
      <w:r w:rsidRPr="000F3B52">
        <w:rPr>
          <w:sz w:val="14"/>
        </w:rPr>
        <w:t>neighbour</w:t>
      </w:r>
      <w:proofErr w:type="spellEnd"/>
      <w:r w:rsidRPr="000F3B52">
        <w:rPr>
          <w:sz w:val="14"/>
        </w:rPr>
        <w:t xml:space="preserve"> then asks why the drunk is not looking outside his front door. The drunk replies to the effect that the light is brighter under the lamp. Taoism and the concept of global security 71 expressed in ‘stories, verses, </w:t>
      </w:r>
      <w:proofErr w:type="gramStart"/>
      <w:r w:rsidRPr="000F3B52">
        <w:rPr>
          <w:sz w:val="14"/>
        </w:rPr>
        <w:t>maxims’</w:t>
      </w:r>
      <w:proofErr w:type="gramEnd"/>
      <w:r w:rsidRPr="000F3B52">
        <w:rPr>
          <w:sz w:val="14"/>
        </w:rPr>
        <w:t xml:space="preserve"> and the like (Graham, 1989, pp. 199– 200; Giles, 1961 [1889]) If historically or philosophically minded, they will want to be more systematic. If positivists, they will want to use the hypothetico-deductive method. So let us be clear. Rationalism, which is the doctrine within which most thinking and practice about the concept of global security is currently done, prioritizes reason as an </w:t>
      </w:r>
      <w:proofErr w:type="gramStart"/>
      <w:r w:rsidRPr="000F3B52">
        <w:rPr>
          <w:sz w:val="14"/>
        </w:rPr>
        <w:t>end in itself</w:t>
      </w:r>
      <w:proofErr w:type="gramEnd"/>
      <w:r w:rsidRPr="000F3B52">
        <w:rPr>
          <w:sz w:val="14"/>
        </w:rPr>
        <w:t xml:space="preserve">. Taoism, which is the doctrine I am trying to bring to bear upon the rationalist construction of this concept, is a way of thinking and practice that does not. It prioritizes sacral (and in this instance, Taoist) insights instead. These two are seemingly incommensurable. They would seem to represent an unbridgeable epistemological divide.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A36DB">
        <w:rPr>
          <w:rStyle w:val="Emphasis"/>
          <w:highlight w:val="cyan"/>
        </w:rPr>
        <w:t>rationalism is compromised at its root by the kind of self that is required if rationalism is to succeed.</w:t>
      </w:r>
      <w:r w:rsidRPr="000F3B52">
        <w:rPr>
          <w:sz w:val="14"/>
        </w:rPr>
        <w:t xml:space="preserve"> I argued that the individuated self – at one mind’s remove from the community – is objectifying. </w:t>
      </w:r>
      <w:r w:rsidRPr="00EA36DB">
        <w:rPr>
          <w:rStyle w:val="Emphasis"/>
          <w:highlight w:val="cyan"/>
        </w:rPr>
        <w:t xml:space="preserve">This self is created </w:t>
      </w:r>
      <w:r w:rsidRPr="000F3B52">
        <w:rPr>
          <w:sz w:val="14"/>
        </w:rPr>
        <w:t>in turn</w:t>
      </w:r>
      <w:r w:rsidRPr="00EA36DB">
        <w:rPr>
          <w:rStyle w:val="Emphasis"/>
          <w:highlight w:val="cyan"/>
        </w:rPr>
        <w:t xml:space="preserve"> by learning to be mentally distanced from the </w:t>
      </w:r>
      <w:r w:rsidRPr="000F3B52">
        <w:rPr>
          <w:sz w:val="14"/>
        </w:rPr>
        <w:t xml:space="preserve">communalist </w:t>
      </w:r>
      <w:r w:rsidRPr="00EA36DB">
        <w:rPr>
          <w:rStyle w:val="Emphasis"/>
          <w:highlight w:val="cyan"/>
        </w:rPr>
        <w:t xml:space="preserve">context into which ‘one’ was born. </w:t>
      </w:r>
      <w:r w:rsidRPr="000F3B52">
        <w:rPr>
          <w:sz w:val="14"/>
        </w:rPr>
        <w:t xml:space="preserve">Rationalism valorizes this individuated self, typically turning it into a primary normative purpose. Because </w:t>
      </w:r>
      <w:r w:rsidRPr="00EA36DB">
        <w:rPr>
          <w:rStyle w:val="Emphasis"/>
          <w:highlight w:val="cyan"/>
        </w:rPr>
        <w:t xml:space="preserve">this </w:t>
      </w:r>
      <w:r w:rsidRPr="000F3B52">
        <w:rPr>
          <w:sz w:val="14"/>
        </w:rPr>
        <w:t xml:space="preserve">bias is built into rationalism itself, and because it </w:t>
      </w:r>
      <w:r w:rsidRPr="00EA36DB">
        <w:rPr>
          <w:rStyle w:val="Emphasis"/>
          <w:highlight w:val="cyan"/>
        </w:rPr>
        <w:t xml:space="preserve">limits and distorts </w:t>
      </w:r>
      <w:r w:rsidRPr="000F3B52">
        <w:rPr>
          <w:sz w:val="14"/>
        </w:rPr>
        <w:t>so thoroughly</w:t>
      </w:r>
      <w:r w:rsidRPr="00EA36DB">
        <w:rPr>
          <w:rStyle w:val="Emphasis"/>
          <w:highlight w:val="cyan"/>
        </w:rPr>
        <w:t xml:space="preserve"> what rationalism can do, we </w:t>
      </w:r>
      <w:proofErr w:type="gramStart"/>
      <w:r w:rsidRPr="00EA36DB">
        <w:rPr>
          <w:rStyle w:val="Emphasis"/>
          <w:highlight w:val="cyan"/>
        </w:rPr>
        <w:t>have to</w:t>
      </w:r>
      <w:proofErr w:type="gramEnd"/>
      <w:r w:rsidRPr="00EA36DB">
        <w:rPr>
          <w:rStyle w:val="Emphasis"/>
          <w:highlight w:val="cyan"/>
        </w:rPr>
        <w:t xml:space="preserve"> go outside </w:t>
      </w:r>
      <w:r w:rsidRPr="000F3B52">
        <w:rPr>
          <w:sz w:val="14"/>
        </w:rPr>
        <w:t xml:space="preserve">rationalism </w:t>
      </w:r>
      <w:r w:rsidRPr="00EA36DB">
        <w:rPr>
          <w:rStyle w:val="Emphasis"/>
          <w:highlight w:val="cyan"/>
        </w:rPr>
        <w:t xml:space="preserve">to compensate </w:t>
      </w:r>
      <w:r w:rsidRPr="000F3B52">
        <w:rPr>
          <w:sz w:val="14"/>
        </w:rPr>
        <w:t>for it.</w:t>
      </w:r>
      <w:r w:rsidRPr="00EA36DB">
        <w:rPr>
          <w:rStyle w:val="Emphasis"/>
          <w:highlight w:val="cyan"/>
        </w:rPr>
        <w:t xml:space="preserve"> </w:t>
      </w:r>
      <w:r w:rsidRPr="000F3B52">
        <w:rPr>
          <w:sz w:val="14"/>
        </w:rPr>
        <w:t>Otherwise,</w:t>
      </w:r>
      <w:r w:rsidRPr="00EA36DB">
        <w:rPr>
          <w:rStyle w:val="Emphasis"/>
          <w:highlight w:val="cyan"/>
        </w:rPr>
        <w:t xml:space="preserve"> whenever we use rationalism</w:t>
      </w:r>
      <w:r w:rsidRPr="000F3B52">
        <w:rPr>
          <w:sz w:val="14"/>
        </w:rPr>
        <w:t>, we will get the world right,</w:t>
      </w:r>
      <w:r w:rsidRPr="00EA36DB">
        <w:rPr>
          <w:rStyle w:val="Emphasis"/>
          <w:highlight w:val="cyan"/>
        </w:rPr>
        <w:t xml:space="preserve"> but we will also get the world wrong.</w:t>
      </w:r>
      <w:r w:rsidRPr="000F3B52">
        <w:rPr>
          <w:sz w:val="14"/>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0F3B52">
        <w:rPr>
          <w:sz w:val="14"/>
        </w:rPr>
        <w:t>shal</w:t>
      </w:r>
      <w:proofErr w:type="spellEnd"/>
      <w:r w:rsidRPr="000F3B52">
        <w:rPr>
          <w:sz w:val="14"/>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w:t>
      </w:r>
      <w:proofErr w:type="gramStart"/>
      <w:r w:rsidRPr="000F3B52">
        <w:rPr>
          <w:sz w:val="14"/>
        </w:rPr>
        <w:t>have to</w:t>
      </w:r>
      <w:proofErr w:type="gramEnd"/>
      <w:r w:rsidRPr="000F3B52">
        <w:rPr>
          <w:sz w:val="14"/>
        </w:rPr>
        <w:t xml:space="preserve"> set the one up in opposition to the other. We do not have to abandon our regard for </w:t>
      </w:r>
      <w:proofErr w:type="spellStart"/>
      <w:r w:rsidRPr="000F3B52">
        <w:rPr>
          <w:sz w:val="14"/>
        </w:rPr>
        <w:t>rigour</w:t>
      </w:r>
      <w:proofErr w:type="spellEnd"/>
      <w:r w:rsidRPr="000F3B52">
        <w:rPr>
          <w:sz w:val="14"/>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w:t>
      </w:r>
      <w:r w:rsidRPr="000F3B52">
        <w:rPr>
          <w:sz w:val="14"/>
        </w:rPr>
        <w:lastRenderedPageBreak/>
        <w:t xml:space="preserve">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w:t>
      </w:r>
      <w:proofErr w:type="gramStart"/>
      <w:r w:rsidRPr="000F3B52">
        <w:rPr>
          <w:sz w:val="14"/>
        </w:rPr>
        <w:t>project, and</w:t>
      </w:r>
      <w:proofErr w:type="gramEnd"/>
      <w:r w:rsidRPr="000F3B52">
        <w:rPr>
          <w:sz w:val="14"/>
        </w:rPr>
        <w:t xml:space="preserve">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0F3B52">
        <w:rPr>
          <w:sz w:val="14"/>
        </w:rPr>
        <w:t>sacralist</w:t>
      </w:r>
      <w:proofErr w:type="spellEnd"/>
      <w:r w:rsidRPr="000F3B52">
        <w:rPr>
          <w:sz w:val="14"/>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0F3B52">
        <w:rPr>
          <w:sz w:val="14"/>
        </w:rPr>
        <w:t>Waley</w:t>
      </w:r>
      <w:proofErr w:type="spellEnd"/>
      <w:r w:rsidRPr="000F3B52">
        <w:rPr>
          <w:sz w:val="14"/>
        </w:rPr>
        <w:t xml:space="preserve"> calls ‘quietism’, or the ‘gradual inward-turning of . . . thought’ (</w:t>
      </w:r>
      <w:proofErr w:type="spellStart"/>
      <w:r w:rsidRPr="000F3B52">
        <w:rPr>
          <w:sz w:val="14"/>
        </w:rPr>
        <w:t>Waley</w:t>
      </w:r>
      <w:proofErr w:type="spellEnd"/>
      <w:r w:rsidRPr="000F3B52">
        <w:rPr>
          <w:sz w:val="14"/>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w:t>
      </w:r>
      <w:proofErr w:type="gramStart"/>
      <w:r w:rsidRPr="000F3B52">
        <w:rPr>
          <w:sz w:val="14"/>
        </w:rPr>
        <w:t>as a way to</w:t>
      </w:r>
      <w:proofErr w:type="gramEnd"/>
      <w:r w:rsidRPr="000F3B52">
        <w:rPr>
          <w:sz w:val="14"/>
        </w:rPr>
        <w:t xml:space="preserve">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0F3B52">
        <w:rPr>
          <w:sz w:val="14"/>
        </w:rPr>
        <w:t>publically</w:t>
      </w:r>
      <w:proofErr w:type="spellEnd"/>
      <w:r w:rsidRPr="000F3B52">
        <w:rPr>
          <w:sz w:val="14"/>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0F3B52">
        <w:rPr>
          <w:sz w:val="14"/>
        </w:rPr>
        <w:t>untrammelled</w:t>
      </w:r>
      <w:proofErr w:type="spellEnd"/>
      <w:r w:rsidRPr="000F3B52">
        <w:rPr>
          <w:sz w:val="14"/>
        </w:rPr>
        <w:t xml:space="preserve"> reasoning possible (individuation). And they see themselves as eschewing these limits by inviting a different kind of primary experience. Taoism and the concept of global security 73 1981, pp. 10, 11). Where </w:t>
      </w:r>
      <w:r w:rsidRPr="00EA36DB">
        <w:rPr>
          <w:rStyle w:val="Emphasis"/>
          <w:highlight w:val="cyan"/>
        </w:rPr>
        <w:t>the rationalist talks of the hypothetico-deductive method, the Taoist talks</w:t>
      </w:r>
      <w:r w:rsidRPr="00EA36DB">
        <w:rPr>
          <w:rStyle w:val="Emphasis"/>
        </w:rPr>
        <w:t xml:space="preserve"> </w:t>
      </w:r>
      <w:r w:rsidRPr="000F3B52">
        <w:rPr>
          <w:sz w:val="14"/>
        </w:rPr>
        <w:t>(again in Graham’s terms</w:t>
      </w:r>
      <w:r w:rsidRPr="00EA36DB">
        <w:rPr>
          <w:rStyle w:val="Emphasis"/>
          <w:highlight w:val="cyan"/>
        </w:rPr>
        <w:t>) of an understanding of the ‘mysterious order which runs through all things’</w:t>
      </w:r>
      <w:r w:rsidRPr="000F3B52">
        <w:rPr>
          <w:sz w:val="14"/>
        </w:rPr>
        <w:t xml:space="preserve">, and the universal motion of chi energy (Graham, 1981, pp. 12, 19–20). Where the rationalist talks of a detached and individuated intellectual vantage-point, separate from society, where reason can be given free </w:t>
      </w:r>
      <w:proofErr w:type="spellStart"/>
      <w:r w:rsidRPr="000F3B52">
        <w:rPr>
          <w:sz w:val="14"/>
        </w:rPr>
        <w:t>reign</w:t>
      </w:r>
      <w:proofErr w:type="spellEnd"/>
      <w:r w:rsidRPr="000F3B52">
        <w:rPr>
          <w:sz w:val="14"/>
        </w:rPr>
        <w:t xml:space="preserve"> to cogitate and communicate, the Taoist talks (in Hansen’s terms this time) of ‘heart-minds’ (Hansen, 1992, pp. 53, 85–86). </w:t>
      </w:r>
      <w:r w:rsidRPr="00EA36DB">
        <w:rPr>
          <w:rStyle w:val="Emphasis"/>
          <w:highlight w:val="cyan"/>
        </w:rPr>
        <w:t xml:space="preserve">Taoists respond </w:t>
      </w:r>
      <w:r w:rsidRPr="000F3B52">
        <w:rPr>
          <w:sz w:val="14"/>
        </w:rPr>
        <w:t xml:space="preserve">to the situation they are in by </w:t>
      </w:r>
      <w:proofErr w:type="spellStart"/>
      <w:r w:rsidRPr="000F3B52">
        <w:rPr>
          <w:sz w:val="14"/>
        </w:rPr>
        <w:t>unfocusing</w:t>
      </w:r>
      <w:proofErr w:type="spellEnd"/>
      <w:r w:rsidRPr="000F3B52">
        <w:rPr>
          <w:sz w:val="14"/>
        </w:rPr>
        <w:t xml:space="preserve">, that is, </w:t>
      </w:r>
      <w:r w:rsidRPr="008B0881">
        <w:rPr>
          <w:rStyle w:val="Emphasis"/>
          <w:highlight w:val="cyan"/>
        </w:rPr>
        <w:t>by</w:t>
      </w:r>
      <w:r w:rsidRPr="008B0881">
        <w:rPr>
          <w:rStyle w:val="Emphasis"/>
        </w:rPr>
        <w:t xml:space="preserve"> </w:t>
      </w:r>
      <w:r w:rsidRPr="00EA36DB">
        <w:rPr>
          <w:rStyle w:val="Emphasis"/>
          <w:highlight w:val="cyan"/>
        </w:rPr>
        <w:t>allowing themselves to act with the ‘immediacy of an echo’, rather than the self-consciousness of someone who applies general principles.</w:t>
      </w:r>
      <w:r w:rsidRPr="000F3B52">
        <w:rPr>
          <w:sz w:val="14"/>
        </w:rPr>
        <w:t xml:space="preserve"> (Graham, 1981, pp. 6, 12, 14). They invite, in other words, the kind of recognition the ‘heart’ gives ‘when the mind is silent’ (</w:t>
      </w:r>
      <w:proofErr w:type="spellStart"/>
      <w:r w:rsidRPr="000F3B52">
        <w:rPr>
          <w:sz w:val="14"/>
        </w:rPr>
        <w:t>Krishnamurti</w:t>
      </w:r>
      <w:proofErr w:type="spellEnd"/>
      <w:r w:rsidRPr="000F3B52">
        <w:rPr>
          <w:sz w:val="14"/>
        </w:rPr>
        <w:t>, 1972, p. 34). This is metaphorical language, but we are not, after all, trying to ascertain what is scientifically true. We are trying to locate scientific truth-finding within its sacral context.8 Faced with global security planning, Taoists highlight the way</w:t>
      </w:r>
      <w:r w:rsidRPr="008B0881">
        <w:rPr>
          <w:rStyle w:val="Emphasis"/>
        </w:rPr>
        <w:t xml:space="preserve"> </w:t>
      </w:r>
      <w:r w:rsidRPr="00EA36DB">
        <w:rPr>
          <w:rStyle w:val="Emphasis"/>
          <w:highlight w:val="cyan"/>
        </w:rPr>
        <w:t xml:space="preserve">rationalist attempts to anticipate a particular </w:t>
      </w:r>
      <w:r w:rsidRPr="000F3B52">
        <w:rPr>
          <w:sz w:val="14"/>
        </w:rPr>
        <w:t xml:space="preserve">foreign </w:t>
      </w:r>
      <w:r w:rsidRPr="00EA36DB">
        <w:rPr>
          <w:rStyle w:val="Emphasis"/>
          <w:highlight w:val="cyan"/>
        </w:rPr>
        <w:t xml:space="preserve">policy can only reach so far. </w:t>
      </w:r>
      <w:r w:rsidRPr="000F3B52">
        <w:rPr>
          <w:sz w:val="14"/>
        </w:rPr>
        <w:t>Taoists highlight how</w:t>
      </w:r>
      <w:r w:rsidRPr="00EA36DB">
        <w:rPr>
          <w:rStyle w:val="Emphasis"/>
          <w:highlight w:val="cyan"/>
        </w:rPr>
        <w:t xml:space="preserve"> those who really know what they are doing </w:t>
      </w:r>
      <w:r w:rsidRPr="000F3B52">
        <w:rPr>
          <w:sz w:val="14"/>
        </w:rPr>
        <w:t xml:space="preserve">tend to </w:t>
      </w:r>
      <w:r w:rsidRPr="00EA36DB">
        <w:rPr>
          <w:rStyle w:val="Emphasis"/>
          <w:highlight w:val="cyan"/>
        </w:rPr>
        <w:t>eschew conscious thought to attend instead to the ‘total situation’</w:t>
      </w:r>
      <w:r w:rsidRPr="000F3B52">
        <w:rPr>
          <w:sz w:val="14"/>
        </w:rPr>
        <w:t xml:space="preserve">.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w:t>
      </w:r>
      <w:proofErr w:type="gramStart"/>
      <w:r w:rsidRPr="000F3B52">
        <w:rPr>
          <w:sz w:val="14"/>
        </w:rPr>
        <w:t>better, or</w:t>
      </w:r>
      <w:proofErr w:type="gramEnd"/>
      <w:r w:rsidRPr="000F3B52">
        <w:rPr>
          <w:sz w:val="14"/>
        </w:rPr>
        <w:t xml:space="preserve"> might have been worse. </w:t>
      </w:r>
      <w:proofErr w:type="gramStart"/>
      <w:r w:rsidRPr="000F3B52">
        <w:rPr>
          <w:sz w:val="14"/>
        </w:rPr>
        <w:t>Likewise</w:t>
      </w:r>
      <w:proofErr w:type="gramEnd"/>
      <w:r w:rsidRPr="000F3B52">
        <w:rPr>
          <w:sz w:val="14"/>
        </w:rPr>
        <w:t xml:space="preserve"> option C. With the B policy chosen, these alternatives are no longer alternatives. Which is why contemplating such alternatives was futile in the first </w:t>
      </w:r>
      <w:proofErr w:type="gramStart"/>
      <w:r w:rsidRPr="000F3B52">
        <w:rPr>
          <w:sz w:val="14"/>
        </w:rPr>
        <w:t>place, and</w:t>
      </w:r>
      <w:proofErr w:type="gramEnd"/>
      <w:r w:rsidRPr="000F3B52">
        <w:rPr>
          <w:sz w:val="14"/>
        </w:rPr>
        <w:t xml:space="preserve"> making decisions on the basis of such contemplations makes no sense at all</w:t>
      </w:r>
      <w:r w:rsidRPr="00EA36DB">
        <w:rPr>
          <w:rStyle w:val="Emphasis"/>
          <w:highlight w:val="cyan"/>
        </w:rPr>
        <w:t>. It is not possible</w:t>
      </w:r>
      <w:r w:rsidRPr="000F3B52">
        <w:rPr>
          <w:sz w:val="14"/>
        </w:rPr>
        <w:t>, that is,</w:t>
      </w:r>
      <w:r w:rsidRPr="00EA36DB">
        <w:rPr>
          <w:rStyle w:val="Emphasis"/>
          <w:highlight w:val="cyan"/>
        </w:rPr>
        <w:t xml:space="preserve"> to know rationally what is in the national interest. To rely on rationalism is, therefore, to overplay rationalism, which is to underplay Taoism </w:t>
      </w:r>
      <w:r w:rsidRPr="000F3B52">
        <w:rPr>
          <w:sz w:val="14"/>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w:t>
      </w:r>
      <w:proofErr w:type="gramStart"/>
      <w:r w:rsidRPr="000F3B52">
        <w:rPr>
          <w:sz w:val="14"/>
        </w:rPr>
        <w:t>However</w:t>
      </w:r>
      <w:proofErr w:type="gramEnd"/>
      <w:r w:rsidRPr="000F3B52">
        <w:rPr>
          <w:sz w:val="14"/>
        </w:rPr>
        <w:t xml:space="preserve">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w:t>
      </w:r>
      <w:r w:rsidRPr="000F3B52">
        <w:rPr>
          <w:sz w:val="14"/>
        </w:rPr>
        <w:lastRenderedPageBreak/>
        <w:t xml:space="preserve">those who speak the different analytic </w:t>
      </w:r>
      <w:proofErr w:type="spellStart"/>
      <w:r w:rsidRPr="000F3B52">
        <w:rPr>
          <w:sz w:val="14"/>
        </w:rPr>
        <w:t>lan</w:t>
      </w:r>
      <w:proofErr w:type="spellEnd"/>
      <w:r w:rsidRPr="000F3B52">
        <w:rPr>
          <w:sz w:val="14"/>
        </w:rPr>
        <w:t xml:space="preserve">- Taoism and the concept of global security 75 </w:t>
      </w:r>
      <w:proofErr w:type="spellStart"/>
      <w:r w:rsidRPr="000F3B52">
        <w:rPr>
          <w:sz w:val="14"/>
        </w:rPr>
        <w:t>guages</w:t>
      </w:r>
      <w:proofErr w:type="spellEnd"/>
      <w:r w:rsidRPr="000F3B52">
        <w:rPr>
          <w:sz w:val="14"/>
        </w:rPr>
        <w:t xml:space="preserve"> mapped in the first section of this article </w:t>
      </w:r>
      <w:proofErr w:type="gramStart"/>
      <w:r w:rsidRPr="000F3B52">
        <w:rPr>
          <w:sz w:val="14"/>
        </w:rPr>
        <w:t>with regard to</w:t>
      </w:r>
      <w:proofErr w:type="gramEnd"/>
      <w:r w:rsidRPr="000F3B52">
        <w:rPr>
          <w:sz w:val="14"/>
        </w:rPr>
        <w:t xml:space="preserve">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0F3B52">
        <w:rPr>
          <w:sz w:val="14"/>
        </w:rPr>
        <w:t>wu-wei</w:t>
      </w:r>
      <w:proofErr w:type="spellEnd"/>
      <w:r w:rsidRPr="000F3B52">
        <w:rPr>
          <w:sz w:val="14"/>
        </w:rPr>
        <w:t xml:space="preserve">, that is, active pacifism, or ‘no unnatural action’, or, as Graham calls it, ‘Doing Nothing’ (Graham, 1981, p. 288; 1989, pp. 232–233). To Needham, </w:t>
      </w:r>
      <w:proofErr w:type="spellStart"/>
      <w:r w:rsidRPr="000F3B52">
        <w:rPr>
          <w:sz w:val="14"/>
        </w:rPr>
        <w:t>wu-wei</w:t>
      </w:r>
      <w:proofErr w:type="spellEnd"/>
      <w:r w:rsidRPr="000F3B52">
        <w:rPr>
          <w:sz w:val="14"/>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w:t>
      </w:r>
      <w:proofErr w:type="gramStart"/>
      <w:r w:rsidRPr="000F3B52">
        <w:rPr>
          <w:sz w:val="14"/>
        </w:rPr>
        <w:t>g]</w:t>
      </w:r>
      <w:proofErr w:type="spellStart"/>
      <w:r w:rsidRPr="000F3B52">
        <w:rPr>
          <w:sz w:val="14"/>
        </w:rPr>
        <w:t>etting</w:t>
      </w:r>
      <w:proofErr w:type="spellEnd"/>
      <w:proofErr w:type="gramEnd"/>
      <w:r w:rsidRPr="000F3B52">
        <w:rPr>
          <w:sz w:val="14"/>
        </w:rPr>
        <w:t xml:space="preserve"> rid of </w:t>
      </w:r>
      <w:proofErr w:type="spellStart"/>
      <w:r w:rsidRPr="000F3B52">
        <w:rPr>
          <w:sz w:val="14"/>
        </w:rPr>
        <w:t>wei</w:t>
      </w:r>
      <w:proofErr w:type="spellEnd"/>
      <w:r w:rsidRPr="000F3B52">
        <w:rPr>
          <w:sz w:val="14"/>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0F3B52">
        <w:rPr>
          <w:sz w:val="14"/>
        </w:rPr>
        <w:t>wu-wei</w:t>
      </w:r>
      <w:proofErr w:type="spellEnd"/>
      <w:r w:rsidRPr="000F3B52">
        <w:rPr>
          <w:sz w:val="14"/>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w:t>
      </w:r>
      <w:proofErr w:type="gramStart"/>
      <w:r w:rsidRPr="000F3B52">
        <w:rPr>
          <w:sz w:val="14"/>
        </w:rPr>
        <w:t>’, and</w:t>
      </w:r>
      <w:proofErr w:type="gramEnd"/>
      <w:r w:rsidRPr="000F3B52">
        <w:rPr>
          <w:sz w:val="14"/>
        </w:rPr>
        <w:t xml:space="preserve"> regard all weapons as not ‘lovely’. It opposes conquest by force of arms, knows ‘the male’ and yet cleaves to that which is ‘female’, seeks the welfare of ordinary people, and </w:t>
      </w:r>
      <w:proofErr w:type="spellStart"/>
      <w:r w:rsidRPr="000F3B52">
        <w:rPr>
          <w:sz w:val="14"/>
        </w:rPr>
        <w:t>endeavours</w:t>
      </w:r>
      <w:proofErr w:type="spellEnd"/>
      <w:r w:rsidRPr="000F3B52">
        <w:rPr>
          <w:sz w:val="14"/>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0F3B52">
        <w:rPr>
          <w:sz w:val="14"/>
        </w:rPr>
        <w:t>practise</w:t>
      </w:r>
      <w:proofErr w:type="spellEnd"/>
      <w:r w:rsidRPr="000F3B52">
        <w:rPr>
          <w:sz w:val="14"/>
        </w:rPr>
        <w:t xml:space="preserve"> of Taoist-inspired martial arts like that of tai 76 Ralph Pettman chi </w:t>
      </w:r>
      <w:proofErr w:type="spellStart"/>
      <w:r w:rsidRPr="000F3B52">
        <w:rPr>
          <w:sz w:val="14"/>
        </w:rPr>
        <w:t>chuan</w:t>
      </w:r>
      <w:proofErr w:type="spellEnd"/>
      <w:r w:rsidRPr="000F3B52">
        <w:rPr>
          <w:sz w:val="14"/>
        </w:rPr>
        <w:t xml:space="preserve">, or judo, or aikido. In tai chi </w:t>
      </w:r>
      <w:proofErr w:type="spellStart"/>
      <w:r w:rsidRPr="000F3B52">
        <w:rPr>
          <w:sz w:val="14"/>
        </w:rPr>
        <w:t>chuan</w:t>
      </w:r>
      <w:proofErr w:type="spellEnd"/>
      <w:r w:rsidRPr="000F3B52">
        <w:rPr>
          <w:sz w:val="14"/>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w:t>
      </w:r>
      <w:proofErr w:type="gramStart"/>
      <w:r w:rsidRPr="000F3B52">
        <w:rPr>
          <w:sz w:val="14"/>
        </w:rPr>
        <w:t>itself ’</w:t>
      </w:r>
      <w:proofErr w:type="gramEnd"/>
      <w:r w:rsidRPr="000F3B52">
        <w:rPr>
          <w:sz w:val="14"/>
        </w:rPr>
        <w:t>.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0F3B52">
        <w:rPr>
          <w:sz w:val="14"/>
        </w:rPr>
        <w:t>Uyeshiba</w:t>
      </w:r>
      <w:proofErr w:type="spellEnd"/>
      <w:r w:rsidRPr="000F3B52">
        <w:rPr>
          <w:sz w:val="14"/>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0F3B52">
        <w:rPr>
          <w:sz w:val="14"/>
        </w:rPr>
        <w:t>behaviour</w:t>
      </w:r>
      <w:proofErr w:type="spellEnd"/>
      <w:r w:rsidRPr="000F3B52">
        <w:rPr>
          <w:sz w:val="14"/>
        </w:rPr>
        <w:t>, and Taoist thinking, which makes no such assumptions, and is not constrained by the rationalist context in which such assumptions are articulated. Wu-</w:t>
      </w:r>
      <w:proofErr w:type="spellStart"/>
      <w:r w:rsidRPr="000F3B52">
        <w:rPr>
          <w:sz w:val="14"/>
        </w:rPr>
        <w:t>wei</w:t>
      </w:r>
      <w:proofErr w:type="spellEnd"/>
      <w:r w:rsidRPr="000F3B52">
        <w:rPr>
          <w:sz w:val="14"/>
        </w:rPr>
        <w:t xml:space="preserve"> decrees no need to return tit-for-tat in promoting global security. It may mean </w:t>
      </w:r>
      <w:proofErr w:type="spellStart"/>
      <w:r w:rsidRPr="000F3B52">
        <w:rPr>
          <w:sz w:val="14"/>
        </w:rPr>
        <w:t>practising</w:t>
      </w:r>
      <w:proofErr w:type="spellEnd"/>
      <w:r w:rsidRPr="000F3B52">
        <w:rPr>
          <w:sz w:val="14"/>
        </w:rPr>
        <w:t xml:space="preserve"> reciprocity. It may not. There is no conceptual obligation either way, since ‘no unnatural action’ is not a contractual practice. The Tao </w:t>
      </w:r>
      <w:proofErr w:type="spellStart"/>
      <w:r w:rsidRPr="000F3B52">
        <w:rPr>
          <w:sz w:val="14"/>
        </w:rPr>
        <w:t>te</w:t>
      </w:r>
      <w:proofErr w:type="spellEnd"/>
      <w:r w:rsidRPr="000F3B52">
        <w:rPr>
          <w:sz w:val="14"/>
        </w:rPr>
        <w:t xml:space="preserve"> </w:t>
      </w:r>
      <w:proofErr w:type="spellStart"/>
      <w:r w:rsidRPr="000F3B52">
        <w:rPr>
          <w:sz w:val="14"/>
        </w:rPr>
        <w:t>ching</w:t>
      </w:r>
      <w:proofErr w:type="spellEnd"/>
      <w:r w:rsidRPr="000F3B52">
        <w:rPr>
          <w:sz w:val="14"/>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w:t>
      </w:r>
      <w:proofErr w:type="gramStart"/>
      <w:r w:rsidRPr="000F3B52">
        <w:rPr>
          <w:sz w:val="14"/>
        </w:rPr>
        <w:t>certainty</w:t>
      </w:r>
      <w:proofErr w:type="gramEnd"/>
      <w:r w:rsidRPr="000F3B52">
        <w:rPr>
          <w:sz w:val="14"/>
        </w:rPr>
        <w:t xml:space="preserve"> they are used to in securing global affairs. </w:t>
      </w:r>
      <w:r w:rsidRPr="00EA36DB">
        <w:rPr>
          <w:rStyle w:val="Emphasis"/>
          <w:highlight w:val="cyan"/>
        </w:rPr>
        <w:t xml:space="preserve">There are no agreed </w:t>
      </w:r>
      <w:proofErr w:type="gramStart"/>
      <w:r w:rsidRPr="00EA36DB">
        <w:rPr>
          <w:rStyle w:val="Emphasis"/>
          <w:highlight w:val="cyan"/>
        </w:rPr>
        <w:t>rules, or</w:t>
      </w:r>
      <w:proofErr w:type="gramEnd"/>
      <w:r w:rsidRPr="00EA36DB">
        <w:rPr>
          <w:rStyle w:val="Emphasis"/>
          <w:highlight w:val="cyan"/>
        </w:rPr>
        <w:t xml:space="preserve"> agreed habits</w:t>
      </w:r>
      <w:r w:rsidRPr="000F3B52">
        <w:rPr>
          <w:sz w:val="14"/>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0F3B52">
        <w:rPr>
          <w:sz w:val="14"/>
        </w:rPr>
        <w:t>practise</w:t>
      </w:r>
      <w:proofErr w:type="spellEnd"/>
      <w:r w:rsidRPr="000F3B52">
        <w:rPr>
          <w:sz w:val="14"/>
        </w:rPr>
        <w:t xml:space="preserve"> ‘no unnatural action’ makes for a mirror-like appraisal of the moment. It may mean promoting world governance or government. It may not. </w:t>
      </w:r>
      <w:r w:rsidRPr="00EA36DB">
        <w:rPr>
          <w:rStyle w:val="Emphasis"/>
          <w:highlight w:val="cyan"/>
        </w:rPr>
        <w:t xml:space="preserve">Given the sacral spontaneity that </w:t>
      </w:r>
      <w:proofErr w:type="spellStart"/>
      <w:r w:rsidRPr="00EA36DB">
        <w:rPr>
          <w:rStyle w:val="Emphasis"/>
          <w:highlight w:val="cyan"/>
        </w:rPr>
        <w:t>wu-wei</w:t>
      </w:r>
      <w:proofErr w:type="spellEnd"/>
      <w:r w:rsidRPr="00EA36DB">
        <w:rPr>
          <w:rStyle w:val="Emphasis"/>
          <w:highlight w:val="cyan"/>
        </w:rPr>
        <w:t xml:space="preserve"> represents, any policy choice may be preferred</w:t>
      </w:r>
      <w:r w:rsidRPr="000F3B52">
        <w:rPr>
          <w:sz w:val="14"/>
        </w:rPr>
        <w:t xml:space="preserve"> (Graham, 1981, p. 91). It will depend on what lets most people live out their lives relatively </w:t>
      </w:r>
      <w:proofErr w:type="spellStart"/>
      <w:r w:rsidRPr="000F3B52">
        <w:rPr>
          <w:sz w:val="14"/>
        </w:rPr>
        <w:t>unharassed</w:t>
      </w:r>
      <w:proofErr w:type="spellEnd"/>
      <w:r w:rsidRPr="000F3B52">
        <w:rPr>
          <w:sz w:val="14"/>
        </w:rPr>
        <w:t xml:space="preserve">. In terms of the politico-economic (market-making) dimension to world affairs, the practice of </w:t>
      </w:r>
      <w:proofErr w:type="spellStart"/>
      <w:r w:rsidRPr="000F3B52">
        <w:rPr>
          <w:sz w:val="14"/>
        </w:rPr>
        <w:t>wu-wei</w:t>
      </w:r>
      <w:proofErr w:type="spellEnd"/>
      <w:r w:rsidRPr="000F3B52">
        <w:rPr>
          <w:sz w:val="14"/>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0F3B52">
        <w:rPr>
          <w:sz w:val="14"/>
        </w:rPr>
        <w:t>behaviour</w:t>
      </w:r>
      <w:proofErr w:type="spellEnd"/>
      <w:r w:rsidRPr="000F3B52">
        <w:rPr>
          <w:sz w:val="14"/>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0F3B52">
        <w:rPr>
          <w:sz w:val="14"/>
        </w:rPr>
        <w:t>te</w:t>
      </w:r>
      <w:proofErr w:type="spellEnd"/>
      <w:r w:rsidRPr="000F3B52">
        <w:rPr>
          <w:sz w:val="14"/>
        </w:rPr>
        <w:t xml:space="preserve"> </w:t>
      </w:r>
      <w:proofErr w:type="spellStart"/>
      <w:r w:rsidRPr="000F3B52">
        <w:rPr>
          <w:sz w:val="14"/>
        </w:rPr>
        <w:t>ching</w:t>
      </w:r>
      <w:proofErr w:type="spellEnd"/>
      <w:r w:rsidRPr="000F3B52">
        <w:rPr>
          <w:sz w:val="14"/>
        </w:rPr>
        <w:t xml:space="preserve"> does eschew the stimulation of a desire for products that are hard to get). Nor do Taoists necessarily espouse the planned production and distribution policies that altruistic socialists find most congenial </w:t>
      </w:r>
      <w:proofErr w:type="gramStart"/>
      <w:r w:rsidRPr="000F3B52">
        <w:rPr>
          <w:sz w:val="14"/>
        </w:rPr>
        <w:t>either (</w:t>
      </w:r>
      <w:proofErr w:type="gramEnd"/>
      <w:r w:rsidRPr="000F3B52">
        <w:rPr>
          <w:sz w:val="14"/>
        </w:rPr>
        <w:t xml:space="preserve">though the Tao </w:t>
      </w:r>
      <w:proofErr w:type="spellStart"/>
      <w:r w:rsidRPr="000F3B52">
        <w:rPr>
          <w:sz w:val="14"/>
        </w:rPr>
        <w:t>te</w:t>
      </w:r>
      <w:proofErr w:type="spellEnd"/>
      <w:r w:rsidRPr="000F3B52">
        <w:rPr>
          <w:sz w:val="14"/>
        </w:rPr>
        <w:t xml:space="preserve"> </w:t>
      </w:r>
      <w:proofErr w:type="spellStart"/>
      <w:r w:rsidRPr="000F3B52">
        <w:rPr>
          <w:sz w:val="14"/>
        </w:rPr>
        <w:t>ching</w:t>
      </w:r>
      <w:proofErr w:type="spellEnd"/>
      <w:r w:rsidRPr="000F3B52">
        <w:rPr>
          <w:sz w:val="14"/>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0F3B52">
        <w:rPr>
          <w:sz w:val="14"/>
        </w:rPr>
        <w:t>wu-wei</w:t>
      </w:r>
      <w:proofErr w:type="spellEnd"/>
      <w:r w:rsidRPr="000F3B52">
        <w:rPr>
          <w:sz w:val="14"/>
        </w:rPr>
        <w:t xml:space="preserve"> frees us from the constraints these languages impose. This does not mean that </w:t>
      </w:r>
      <w:proofErr w:type="spellStart"/>
      <w:r w:rsidRPr="000F3B52">
        <w:rPr>
          <w:sz w:val="14"/>
        </w:rPr>
        <w:t>wu-wei</w:t>
      </w:r>
      <w:proofErr w:type="spellEnd"/>
      <w:r w:rsidRPr="000F3B52">
        <w:rPr>
          <w:sz w:val="14"/>
        </w:rPr>
        <w:t xml:space="preserve"> prescribes set developmental policies of some other </w:t>
      </w:r>
      <w:proofErr w:type="gramStart"/>
      <w:r w:rsidRPr="000F3B52">
        <w:rPr>
          <w:sz w:val="14"/>
        </w:rPr>
        <w:t>kind, or</w:t>
      </w:r>
      <w:proofErr w:type="gramEnd"/>
      <w:r w:rsidRPr="000F3B52">
        <w:rPr>
          <w:sz w:val="14"/>
        </w:rPr>
        <w:t xml:space="preserve"> has a solution it can bring to bear upon a specific famine (though Taoism does enjoin us to be frugal and content, foster the welfare of ordinary people, and not exalt riches). It does mean that </w:t>
      </w:r>
      <w:proofErr w:type="spellStart"/>
      <w:r w:rsidRPr="000F3B52">
        <w:rPr>
          <w:sz w:val="14"/>
        </w:rPr>
        <w:t>wu-wei</w:t>
      </w:r>
      <w:proofErr w:type="spellEnd"/>
      <w:r w:rsidRPr="000F3B52">
        <w:rPr>
          <w:sz w:val="14"/>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0F3B52">
        <w:rPr>
          <w:sz w:val="14"/>
        </w:rPr>
        <w:t>wu-wei</w:t>
      </w:r>
      <w:proofErr w:type="spellEnd"/>
      <w:r w:rsidRPr="000F3B52">
        <w:rPr>
          <w:sz w:val="14"/>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w:t>
      </w:r>
      <w:proofErr w:type="gramStart"/>
      <w:r w:rsidRPr="000F3B52">
        <w:rPr>
          <w:sz w:val="14"/>
        </w:rPr>
        <w:t>particular policy</w:t>
      </w:r>
      <w:proofErr w:type="gramEnd"/>
      <w:r w:rsidRPr="000F3B52">
        <w:rPr>
          <w:sz w:val="14"/>
        </w:rPr>
        <w:t xml:space="preserve"> or policies. Indeed, </w:t>
      </w:r>
      <w:r w:rsidRPr="00EA36DB">
        <w:rPr>
          <w:rStyle w:val="Emphasis"/>
          <w:highlight w:val="cyan"/>
        </w:rPr>
        <w:t>it enjoins us not to get caught up in the conventional thinking that these rationalist ways of talking about the self-in-world-society represent</w:t>
      </w:r>
      <w:r w:rsidRPr="000F3B52">
        <w:rPr>
          <w:sz w:val="14"/>
        </w:rPr>
        <w:t xml:space="preserve">. This does not make it a panacea (though the humane and caring character of Taoism would make it the basis for one, as would its </w:t>
      </w:r>
      <w:r w:rsidRPr="000F3B52">
        <w:rPr>
          <w:sz w:val="14"/>
        </w:rPr>
        <w:lastRenderedPageBreak/>
        <w:t xml:space="preserve">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0F3B52">
        <w:rPr>
          <w:sz w:val="14"/>
        </w:rPr>
        <w:t>marxists</w:t>
      </w:r>
      <w:proofErr w:type="spellEnd"/>
      <w:r w:rsidRPr="000F3B52">
        <w:rPr>
          <w:sz w:val="14"/>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0F3B52">
        <w:rPr>
          <w:sz w:val="14"/>
        </w:rPr>
        <w:t>marxists</w:t>
      </w:r>
      <w:proofErr w:type="spellEnd"/>
      <w:r w:rsidRPr="000F3B52">
        <w:rPr>
          <w:sz w:val="14"/>
        </w:rPr>
        <w:t xml:space="preserve"> add a mentalist note to this story to account for the hegemonic power of the ruling class, and its capacity to craft a concept of global security that serves its </w:t>
      </w:r>
      <w:proofErr w:type="gramStart"/>
      <w:r w:rsidRPr="000F3B52">
        <w:rPr>
          <w:sz w:val="14"/>
        </w:rPr>
        <w:t>particular interests</w:t>
      </w:r>
      <w:proofErr w:type="gramEnd"/>
      <w:r w:rsidRPr="000F3B52">
        <w:rPr>
          <w:sz w:val="14"/>
        </w:rPr>
        <w:t xml:space="preserve">. Taoist spontaneity is radically different in that it does not portend any </w:t>
      </w:r>
      <w:proofErr w:type="gramStart"/>
      <w:r w:rsidRPr="000F3B52">
        <w:rPr>
          <w:sz w:val="14"/>
        </w:rPr>
        <w:t>particular alternative</w:t>
      </w:r>
      <w:proofErr w:type="gramEnd"/>
      <w:r w:rsidRPr="000F3B52">
        <w:rPr>
          <w:sz w:val="14"/>
        </w:rPr>
        <w:t xml:space="preserve"> to the analytic certainties (neo)</w:t>
      </w:r>
      <w:proofErr w:type="spellStart"/>
      <w:r w:rsidRPr="000F3B52">
        <w:rPr>
          <w:sz w:val="14"/>
        </w:rPr>
        <w:t>marxist</w:t>
      </w:r>
      <w:proofErr w:type="spellEnd"/>
      <w:r w:rsidRPr="000F3B52">
        <w:rPr>
          <w:sz w:val="14"/>
        </w:rPr>
        <w:t xml:space="preserve"> doctrines represent. Nor does it preclude the policies they prescribe or proscribe. Wu-</w:t>
      </w:r>
      <w:proofErr w:type="spellStart"/>
      <w:r w:rsidRPr="000F3B52">
        <w:rPr>
          <w:sz w:val="14"/>
        </w:rPr>
        <w:t>wei</w:t>
      </w:r>
      <w:proofErr w:type="spellEnd"/>
      <w:r w:rsidRPr="000F3B52">
        <w:rPr>
          <w:sz w:val="14"/>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w:t>
      </w:r>
      <w:proofErr w:type="gramStart"/>
      <w:r w:rsidRPr="000F3B52">
        <w:rPr>
          <w:sz w:val="14"/>
        </w:rPr>
        <w:t>mentally-made</w:t>
      </w:r>
      <w:proofErr w:type="gramEnd"/>
      <w:r w:rsidRPr="000F3B52">
        <w:rPr>
          <w:sz w:val="14"/>
        </w:rPr>
        <w:t xml:space="preserve"> component to them all. Taoism can look very similar, particularly when we find the Tao </w:t>
      </w:r>
      <w:proofErr w:type="spellStart"/>
      <w:r w:rsidRPr="000F3B52">
        <w:rPr>
          <w:sz w:val="14"/>
        </w:rPr>
        <w:t>te</w:t>
      </w:r>
      <w:proofErr w:type="spellEnd"/>
      <w:r w:rsidRPr="000F3B52">
        <w:rPr>
          <w:sz w:val="14"/>
        </w:rPr>
        <w:t xml:space="preserve"> </w:t>
      </w:r>
      <w:proofErr w:type="spellStart"/>
      <w:r w:rsidRPr="000F3B52">
        <w:rPr>
          <w:sz w:val="14"/>
        </w:rPr>
        <w:t>ching</w:t>
      </w:r>
      <w:proofErr w:type="spellEnd"/>
      <w:r w:rsidRPr="000F3B52">
        <w:rPr>
          <w:sz w:val="14"/>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0F3B52">
        <w:rPr>
          <w:sz w:val="14"/>
        </w:rPr>
        <w:t>sacralist</w:t>
      </w:r>
      <w:proofErr w:type="spellEnd"/>
      <w:r w:rsidRPr="000F3B52">
        <w:rPr>
          <w:sz w:val="14"/>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w:t>
      </w:r>
      <w:proofErr w:type="gramStart"/>
      <w:r w:rsidRPr="000F3B52">
        <w:rPr>
          <w:sz w:val="14"/>
        </w:rPr>
        <w:t>The</w:t>
      </w:r>
      <w:proofErr w:type="gramEnd"/>
      <w:r w:rsidRPr="000F3B52">
        <w:rPr>
          <w:sz w:val="14"/>
        </w:rPr>
        <w:t xml:space="preserve"> dominant (though not necessarily the most important) language spoken about contemporary world affairs is the (neo)realist one. It articulates </w:t>
      </w:r>
      <w:proofErr w:type="gramStart"/>
      <w:r w:rsidRPr="000F3B52">
        <w:rPr>
          <w:sz w:val="14"/>
        </w:rPr>
        <w:t>all of</w:t>
      </w:r>
      <w:proofErr w:type="gramEnd"/>
      <w:r w:rsidRPr="000F3B52">
        <w:rPr>
          <w:sz w:val="14"/>
        </w:rPr>
        <w:t xml:space="preserve"> our dog-eat-dog notions about an anarchic world system, and global and regional balances of power. Compare the concept of </w:t>
      </w:r>
      <w:proofErr w:type="spellStart"/>
      <w:r w:rsidRPr="000F3B52">
        <w:rPr>
          <w:sz w:val="14"/>
        </w:rPr>
        <w:t>wu-wei</w:t>
      </w:r>
      <w:proofErr w:type="spellEnd"/>
      <w:r w:rsidRPr="000F3B52">
        <w:rPr>
          <w:sz w:val="14"/>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w:t>
      </w:r>
      <w:proofErr w:type="gramStart"/>
      <w:r w:rsidRPr="000F3B52">
        <w:rPr>
          <w:sz w:val="14"/>
        </w:rPr>
        <w:t>hand</w:t>
      </w:r>
      <w:proofErr w:type="gramEnd"/>
      <w:r w:rsidRPr="000F3B52">
        <w:rPr>
          <w:sz w:val="14"/>
        </w:rPr>
        <w:t xml:space="preserve"> </w:t>
      </w:r>
      <w:r w:rsidRPr="00EA36DB">
        <w:rPr>
          <w:rStyle w:val="Emphasis"/>
          <w:highlight w:val="cyan"/>
        </w:rPr>
        <w:t xml:space="preserve">we have the Taoist determination to make no such assumptions and accept no such constraints. </w:t>
      </w:r>
      <w:r w:rsidRPr="000F3B52">
        <w:rPr>
          <w:sz w:val="14"/>
        </w:rPr>
        <w:t xml:space="preserve">We have clear but not dogmatic opposition to conquest by force of arms. We have the decision to be as flexible as possible about what foreign policies to adopt, and how to implement them. We have the determination to act or react with profound, indeed sacral spontaneity. Rationalists aptly point out that </w:t>
      </w:r>
      <w:r w:rsidRPr="00EA36DB">
        <w:rPr>
          <w:rStyle w:val="Emphasis"/>
          <w:highlight w:val="cyan"/>
        </w:rPr>
        <w:t>anything less than sacral spontaneity is likely to fall flat on its face</w:t>
      </w:r>
      <w:r w:rsidRPr="000F3B52">
        <w:rPr>
          <w:sz w:val="14"/>
        </w:rPr>
        <w:t xml:space="preserve">. While we wrestle with whether we are profound enough, however, we can always, as the Tao </w:t>
      </w:r>
      <w:proofErr w:type="spellStart"/>
      <w:r w:rsidRPr="000F3B52">
        <w:rPr>
          <w:sz w:val="14"/>
        </w:rPr>
        <w:t>te</w:t>
      </w:r>
      <w:proofErr w:type="spellEnd"/>
      <w:r w:rsidRPr="000F3B52">
        <w:rPr>
          <w:sz w:val="14"/>
        </w:rPr>
        <w:t xml:space="preserve"> </w:t>
      </w:r>
      <w:proofErr w:type="spellStart"/>
      <w:r w:rsidRPr="000F3B52">
        <w:rPr>
          <w:sz w:val="14"/>
        </w:rPr>
        <w:t>ching</w:t>
      </w:r>
      <w:proofErr w:type="spellEnd"/>
      <w:r w:rsidRPr="000F3B52">
        <w:rPr>
          <w:sz w:val="14"/>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0F3B52">
        <w:rPr>
          <w:sz w:val="14"/>
        </w:rPr>
        <w:t>wu-wei</w:t>
      </w:r>
      <w:proofErr w:type="spellEnd"/>
      <w:r w:rsidRPr="000F3B52">
        <w:rPr>
          <w:sz w:val="14"/>
        </w:rPr>
        <w:t xml:space="preserve"> apply here? Human warring is regularly </w:t>
      </w:r>
      <w:proofErr w:type="spellStart"/>
      <w:r w:rsidRPr="000F3B52">
        <w:rPr>
          <w:sz w:val="14"/>
        </w:rPr>
        <w:t>analysed</w:t>
      </w:r>
      <w:proofErr w:type="spellEnd"/>
      <w:r w:rsidRPr="000F3B52">
        <w:rPr>
          <w:sz w:val="14"/>
        </w:rPr>
        <w:t xml:space="preserve"> rationally in terms of a range of causes, </w:t>
      </w:r>
      <w:proofErr w:type="gramStart"/>
      <w:r w:rsidRPr="000F3B52">
        <w:rPr>
          <w:sz w:val="14"/>
        </w:rPr>
        <w:t>kinds</w:t>
      </w:r>
      <w:proofErr w:type="gramEnd"/>
      <w:r w:rsidRPr="000F3B52">
        <w:rPr>
          <w:sz w:val="14"/>
        </w:rPr>
        <w:t xml:space="preserve"> and consequences. The results of these analyses are used to plan appropriate politico-strategic practices, whether of an offensive, defensive, or pre-emptive kind. Human warring can also be </w:t>
      </w:r>
      <w:proofErr w:type="spellStart"/>
      <w:r w:rsidRPr="000F3B52">
        <w:rPr>
          <w:sz w:val="14"/>
        </w:rPr>
        <w:t>analysed</w:t>
      </w:r>
      <w:proofErr w:type="spellEnd"/>
      <w:r w:rsidRPr="000F3B52">
        <w:rPr>
          <w:sz w:val="14"/>
        </w:rPr>
        <w:t xml:space="preserve"> by meditating, however – that is, by not cogitating so self-consciously upon the ways in which we relate to each other and the world. The results of these meditations can then be used to practice neither offence, </w:t>
      </w:r>
      <w:proofErr w:type="spellStart"/>
      <w:r w:rsidRPr="000F3B52">
        <w:rPr>
          <w:sz w:val="14"/>
        </w:rPr>
        <w:t>defence</w:t>
      </w:r>
      <w:proofErr w:type="spellEnd"/>
      <w:r w:rsidRPr="000F3B52">
        <w:rPr>
          <w:sz w:val="14"/>
        </w:rPr>
        <w:t xml:space="preserve">, or preemption, but a kind of watchfulness, a kind of non-anticipation, a way of being in the world-moment that is </w:t>
      </w:r>
      <w:proofErr w:type="spellStart"/>
      <w:r w:rsidRPr="000F3B52">
        <w:rPr>
          <w:sz w:val="14"/>
        </w:rPr>
        <w:t>equaniminous</w:t>
      </w:r>
      <w:proofErr w:type="spellEnd"/>
      <w:r w:rsidRPr="000F3B52">
        <w:rPr>
          <w:sz w:val="14"/>
        </w:rPr>
        <w:t xml:space="preserve">, open, and aware. The latter is the one that </w:t>
      </w:r>
      <w:proofErr w:type="spellStart"/>
      <w:r w:rsidRPr="000F3B52">
        <w:rPr>
          <w:sz w:val="14"/>
        </w:rPr>
        <w:t>wu-wei</w:t>
      </w:r>
      <w:proofErr w:type="spellEnd"/>
      <w:r w:rsidRPr="000F3B52">
        <w:rPr>
          <w:sz w:val="14"/>
        </w:rPr>
        <w:t xml:space="preserve"> exemplifies. It would be worthy but fruitless to try and deal with world conflict </w:t>
      </w:r>
    </w:p>
    <w:p w14:paraId="20586169" w14:textId="6609A4B3" w:rsidR="00C611E0" w:rsidRPr="00EA1B63" w:rsidRDefault="00C611E0" w:rsidP="00290C9A"/>
    <w:p w14:paraId="57B08E55" w14:textId="301C29FC" w:rsidR="00CA059E" w:rsidRPr="00EA1B63" w:rsidRDefault="006C643E" w:rsidP="006C643E">
      <w:pPr>
        <w:pStyle w:val="Heading1"/>
        <w:rPr>
          <w:rFonts w:asciiTheme="majorHAnsi" w:hAnsiTheme="majorHAnsi" w:cstheme="majorHAnsi"/>
        </w:rPr>
      </w:pPr>
      <w:r w:rsidRPr="00EA1B63">
        <w:rPr>
          <w:rFonts w:asciiTheme="majorHAnsi" w:hAnsiTheme="majorHAnsi" w:cstheme="majorHAnsi"/>
        </w:rPr>
        <w:lastRenderedPageBreak/>
        <w:t>1AR</w:t>
      </w:r>
    </w:p>
    <w:p w14:paraId="43836637" w14:textId="7EB50421" w:rsidR="006C643E" w:rsidRPr="00EA1B63" w:rsidRDefault="006C643E" w:rsidP="006C643E">
      <w:pPr>
        <w:pStyle w:val="Heading2"/>
        <w:rPr>
          <w:rFonts w:asciiTheme="majorHAnsi" w:hAnsiTheme="majorHAnsi" w:cstheme="majorHAnsi"/>
        </w:rPr>
      </w:pPr>
      <w:r w:rsidRPr="00EA1B63">
        <w:rPr>
          <w:rFonts w:asciiTheme="majorHAnsi" w:hAnsiTheme="majorHAnsi" w:cstheme="majorHAnsi"/>
        </w:rPr>
        <w:lastRenderedPageBreak/>
        <w:t>Extension</w:t>
      </w:r>
    </w:p>
    <w:p w14:paraId="016C6572" w14:textId="77777777" w:rsidR="006C643E" w:rsidRPr="00EA1B63" w:rsidRDefault="006C643E" w:rsidP="006C643E">
      <w:pPr>
        <w:rPr>
          <w:rFonts w:asciiTheme="majorHAnsi" w:hAnsiTheme="majorHAnsi" w:cstheme="majorHAnsi"/>
        </w:rPr>
      </w:pPr>
    </w:p>
    <w:p w14:paraId="6BDA60D8" w14:textId="77777777" w:rsidR="004B35E1" w:rsidRPr="00B73614" w:rsidRDefault="004B35E1" w:rsidP="00FA0705">
      <w:pPr>
        <w:rPr>
          <w:rFonts w:asciiTheme="majorHAnsi" w:hAnsiTheme="majorHAnsi" w:cstheme="majorHAnsi"/>
        </w:rPr>
      </w:pPr>
    </w:p>
    <w:sectPr w:rsidR="004B35E1" w:rsidRPr="00B7361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925488"/>
    <w:multiLevelType w:val="hybridMultilevel"/>
    <w:tmpl w:val="3DE03C46"/>
    <w:lvl w:ilvl="0" w:tplc="7542F9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344C"/>
    <w:multiLevelType w:val="hybridMultilevel"/>
    <w:tmpl w:val="408A6B7C"/>
    <w:lvl w:ilvl="0" w:tplc="680E6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C21F2"/>
    <w:multiLevelType w:val="hybridMultilevel"/>
    <w:tmpl w:val="DCF43E82"/>
    <w:lvl w:ilvl="0" w:tplc="10003022">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7583C"/>
    <w:rsid w:val="000029E3"/>
    <w:rsid w:val="000029E8"/>
    <w:rsid w:val="00004225"/>
    <w:rsid w:val="000066CA"/>
    <w:rsid w:val="00007264"/>
    <w:rsid w:val="000076A9"/>
    <w:rsid w:val="00014FAD"/>
    <w:rsid w:val="00015D2A"/>
    <w:rsid w:val="000229B5"/>
    <w:rsid w:val="0002490B"/>
    <w:rsid w:val="00026465"/>
    <w:rsid w:val="00030204"/>
    <w:rsid w:val="000312A0"/>
    <w:rsid w:val="0003396C"/>
    <w:rsid w:val="00035337"/>
    <w:rsid w:val="00052FB1"/>
    <w:rsid w:val="00054276"/>
    <w:rsid w:val="000547B1"/>
    <w:rsid w:val="0006091E"/>
    <w:rsid w:val="000638C1"/>
    <w:rsid w:val="00065FEE"/>
    <w:rsid w:val="00066E3C"/>
    <w:rsid w:val="000717A3"/>
    <w:rsid w:val="00072718"/>
    <w:rsid w:val="0007381E"/>
    <w:rsid w:val="00076094"/>
    <w:rsid w:val="0008785F"/>
    <w:rsid w:val="00090CBE"/>
    <w:rsid w:val="00094DEC"/>
    <w:rsid w:val="000A2D8A"/>
    <w:rsid w:val="000D26A6"/>
    <w:rsid w:val="000D2B90"/>
    <w:rsid w:val="000D6ED8"/>
    <w:rsid w:val="000D717B"/>
    <w:rsid w:val="000E26CF"/>
    <w:rsid w:val="000F3B52"/>
    <w:rsid w:val="00100B28"/>
    <w:rsid w:val="00115D4F"/>
    <w:rsid w:val="00117316"/>
    <w:rsid w:val="001209B4"/>
    <w:rsid w:val="001250A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C59"/>
    <w:rsid w:val="00207FD8"/>
    <w:rsid w:val="00210FAF"/>
    <w:rsid w:val="00213B1E"/>
    <w:rsid w:val="00215284"/>
    <w:rsid w:val="002168F2"/>
    <w:rsid w:val="0022589F"/>
    <w:rsid w:val="00227426"/>
    <w:rsid w:val="002343FE"/>
    <w:rsid w:val="00235F7B"/>
    <w:rsid w:val="00243B60"/>
    <w:rsid w:val="002502CF"/>
    <w:rsid w:val="00267EBB"/>
    <w:rsid w:val="0027023B"/>
    <w:rsid w:val="00272F3F"/>
    <w:rsid w:val="00274EDB"/>
    <w:rsid w:val="0027729E"/>
    <w:rsid w:val="002843B2"/>
    <w:rsid w:val="00284ED6"/>
    <w:rsid w:val="00287135"/>
    <w:rsid w:val="00290C5A"/>
    <w:rsid w:val="00290C92"/>
    <w:rsid w:val="00290C9A"/>
    <w:rsid w:val="0029647A"/>
    <w:rsid w:val="00296504"/>
    <w:rsid w:val="002A10D8"/>
    <w:rsid w:val="002A6BC4"/>
    <w:rsid w:val="002B5511"/>
    <w:rsid w:val="002B7ACF"/>
    <w:rsid w:val="002E0643"/>
    <w:rsid w:val="002E357B"/>
    <w:rsid w:val="002E392E"/>
    <w:rsid w:val="002E6BBC"/>
    <w:rsid w:val="002F1BA9"/>
    <w:rsid w:val="002F6E74"/>
    <w:rsid w:val="003106B3"/>
    <w:rsid w:val="0031385D"/>
    <w:rsid w:val="003171AB"/>
    <w:rsid w:val="003223B2"/>
    <w:rsid w:val="00322A67"/>
    <w:rsid w:val="00330E13"/>
    <w:rsid w:val="00335A23"/>
    <w:rsid w:val="00340707"/>
    <w:rsid w:val="00341C61"/>
    <w:rsid w:val="00345EC4"/>
    <w:rsid w:val="00351841"/>
    <w:rsid w:val="00360CA9"/>
    <w:rsid w:val="003624A6"/>
    <w:rsid w:val="00364ADF"/>
    <w:rsid w:val="00365C8D"/>
    <w:rsid w:val="003670D9"/>
    <w:rsid w:val="00367CB5"/>
    <w:rsid w:val="00370B41"/>
    <w:rsid w:val="00371B27"/>
    <w:rsid w:val="003726C3"/>
    <w:rsid w:val="00375D2E"/>
    <w:rsid w:val="00383071"/>
    <w:rsid w:val="00383B19"/>
    <w:rsid w:val="00384CBC"/>
    <w:rsid w:val="003933F9"/>
    <w:rsid w:val="00395864"/>
    <w:rsid w:val="00396557"/>
    <w:rsid w:val="00397316"/>
    <w:rsid w:val="003A248F"/>
    <w:rsid w:val="003A3378"/>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042E"/>
    <w:rsid w:val="004B35E1"/>
    <w:rsid w:val="004B37B4"/>
    <w:rsid w:val="004B72B4"/>
    <w:rsid w:val="004C0314"/>
    <w:rsid w:val="004C0D3D"/>
    <w:rsid w:val="004C213E"/>
    <w:rsid w:val="004C376C"/>
    <w:rsid w:val="004C657F"/>
    <w:rsid w:val="004D17D8"/>
    <w:rsid w:val="004D52D8"/>
    <w:rsid w:val="004E355B"/>
    <w:rsid w:val="004F4350"/>
    <w:rsid w:val="005028E5"/>
    <w:rsid w:val="00503735"/>
    <w:rsid w:val="00505116"/>
    <w:rsid w:val="00516A88"/>
    <w:rsid w:val="00522065"/>
    <w:rsid w:val="005224F2"/>
    <w:rsid w:val="00533F1C"/>
    <w:rsid w:val="00536D8B"/>
    <w:rsid w:val="00537081"/>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0B2"/>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2E57"/>
    <w:rsid w:val="00674A78"/>
    <w:rsid w:val="00695619"/>
    <w:rsid w:val="00696A16"/>
    <w:rsid w:val="006A4840"/>
    <w:rsid w:val="006A52A0"/>
    <w:rsid w:val="006A7E1D"/>
    <w:rsid w:val="006C3A56"/>
    <w:rsid w:val="006C643E"/>
    <w:rsid w:val="006D13F4"/>
    <w:rsid w:val="006D6AED"/>
    <w:rsid w:val="006E6D0B"/>
    <w:rsid w:val="006F126E"/>
    <w:rsid w:val="006F32C9"/>
    <w:rsid w:val="006F3834"/>
    <w:rsid w:val="006F5693"/>
    <w:rsid w:val="006F5D4C"/>
    <w:rsid w:val="00717B01"/>
    <w:rsid w:val="007227D9"/>
    <w:rsid w:val="0072491F"/>
    <w:rsid w:val="00725598"/>
    <w:rsid w:val="007374A1"/>
    <w:rsid w:val="00737E39"/>
    <w:rsid w:val="00752712"/>
    <w:rsid w:val="00753A84"/>
    <w:rsid w:val="007611F5"/>
    <w:rsid w:val="007619E4"/>
    <w:rsid w:val="00761E75"/>
    <w:rsid w:val="0076495E"/>
    <w:rsid w:val="00765FC8"/>
    <w:rsid w:val="00775694"/>
    <w:rsid w:val="0077583C"/>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22F7"/>
    <w:rsid w:val="007F2A32"/>
    <w:rsid w:val="007F426A"/>
    <w:rsid w:val="00803A12"/>
    <w:rsid w:val="00805417"/>
    <w:rsid w:val="008266F9"/>
    <w:rsid w:val="008267E2"/>
    <w:rsid w:val="00826A9B"/>
    <w:rsid w:val="00834842"/>
    <w:rsid w:val="00840E7B"/>
    <w:rsid w:val="00850294"/>
    <w:rsid w:val="008536AF"/>
    <w:rsid w:val="00853D40"/>
    <w:rsid w:val="008564FC"/>
    <w:rsid w:val="00864E76"/>
    <w:rsid w:val="00872581"/>
    <w:rsid w:val="0087459D"/>
    <w:rsid w:val="0087680F"/>
    <w:rsid w:val="00876D81"/>
    <w:rsid w:val="00881637"/>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2BE6"/>
    <w:rsid w:val="008F41FD"/>
    <w:rsid w:val="008F4479"/>
    <w:rsid w:val="008F4BA0"/>
    <w:rsid w:val="00901726"/>
    <w:rsid w:val="00920E6A"/>
    <w:rsid w:val="00931816"/>
    <w:rsid w:val="00932C71"/>
    <w:rsid w:val="00941E27"/>
    <w:rsid w:val="00942B7E"/>
    <w:rsid w:val="009509D5"/>
    <w:rsid w:val="009538F5"/>
    <w:rsid w:val="00957187"/>
    <w:rsid w:val="00960255"/>
    <w:rsid w:val="009603E1"/>
    <w:rsid w:val="00961C9D"/>
    <w:rsid w:val="00963065"/>
    <w:rsid w:val="0097151F"/>
    <w:rsid w:val="00973777"/>
    <w:rsid w:val="00976E78"/>
    <w:rsid w:val="009775C0"/>
    <w:rsid w:val="00981F23"/>
    <w:rsid w:val="00984840"/>
    <w:rsid w:val="00990634"/>
    <w:rsid w:val="00991733"/>
    <w:rsid w:val="00992078"/>
    <w:rsid w:val="00992BE3"/>
    <w:rsid w:val="009A1467"/>
    <w:rsid w:val="009A2C4B"/>
    <w:rsid w:val="009A6464"/>
    <w:rsid w:val="009B69F5"/>
    <w:rsid w:val="009C5FF7"/>
    <w:rsid w:val="009C6292"/>
    <w:rsid w:val="009D15DB"/>
    <w:rsid w:val="009D3133"/>
    <w:rsid w:val="009E160D"/>
    <w:rsid w:val="009F1CBB"/>
    <w:rsid w:val="009F3305"/>
    <w:rsid w:val="009F6FB2"/>
    <w:rsid w:val="00A071C0"/>
    <w:rsid w:val="00A22670"/>
    <w:rsid w:val="00A2493D"/>
    <w:rsid w:val="00A24B35"/>
    <w:rsid w:val="00A271BA"/>
    <w:rsid w:val="00A27F86"/>
    <w:rsid w:val="00A35C40"/>
    <w:rsid w:val="00A431C6"/>
    <w:rsid w:val="00A54315"/>
    <w:rsid w:val="00A60FBC"/>
    <w:rsid w:val="00A65C0B"/>
    <w:rsid w:val="00A776BA"/>
    <w:rsid w:val="00A81FD2"/>
    <w:rsid w:val="00A83233"/>
    <w:rsid w:val="00A8441A"/>
    <w:rsid w:val="00A8674A"/>
    <w:rsid w:val="00A964CE"/>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3C39"/>
    <w:rsid w:val="00B24662"/>
    <w:rsid w:val="00B3569C"/>
    <w:rsid w:val="00B43676"/>
    <w:rsid w:val="00B5602D"/>
    <w:rsid w:val="00B60125"/>
    <w:rsid w:val="00B6656B"/>
    <w:rsid w:val="00B71625"/>
    <w:rsid w:val="00B73614"/>
    <w:rsid w:val="00B75C54"/>
    <w:rsid w:val="00B8710E"/>
    <w:rsid w:val="00B92A93"/>
    <w:rsid w:val="00BA17A8"/>
    <w:rsid w:val="00BA3C33"/>
    <w:rsid w:val="00BA413F"/>
    <w:rsid w:val="00BB0878"/>
    <w:rsid w:val="00BB1879"/>
    <w:rsid w:val="00BB1CB2"/>
    <w:rsid w:val="00BB39BA"/>
    <w:rsid w:val="00BC0ABE"/>
    <w:rsid w:val="00BC30DB"/>
    <w:rsid w:val="00BC64FF"/>
    <w:rsid w:val="00BC7C37"/>
    <w:rsid w:val="00BD2178"/>
    <w:rsid w:val="00BD2244"/>
    <w:rsid w:val="00BE6472"/>
    <w:rsid w:val="00BF29B8"/>
    <w:rsid w:val="00BF46EA"/>
    <w:rsid w:val="00C0512D"/>
    <w:rsid w:val="00C07769"/>
    <w:rsid w:val="00C07D05"/>
    <w:rsid w:val="00C10856"/>
    <w:rsid w:val="00C203FA"/>
    <w:rsid w:val="00C244F5"/>
    <w:rsid w:val="00C3164F"/>
    <w:rsid w:val="00C31B5E"/>
    <w:rsid w:val="00C34D3E"/>
    <w:rsid w:val="00C35B37"/>
    <w:rsid w:val="00C3747A"/>
    <w:rsid w:val="00C37F29"/>
    <w:rsid w:val="00C56DCC"/>
    <w:rsid w:val="00C57075"/>
    <w:rsid w:val="00C611E0"/>
    <w:rsid w:val="00C72AFE"/>
    <w:rsid w:val="00C81619"/>
    <w:rsid w:val="00CA013C"/>
    <w:rsid w:val="00CA059E"/>
    <w:rsid w:val="00CA6D6D"/>
    <w:rsid w:val="00CC7A4E"/>
    <w:rsid w:val="00CD1359"/>
    <w:rsid w:val="00CD4C83"/>
    <w:rsid w:val="00CF0385"/>
    <w:rsid w:val="00CF204C"/>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47E"/>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5E76"/>
    <w:rsid w:val="00EA1115"/>
    <w:rsid w:val="00EA1B63"/>
    <w:rsid w:val="00EA39EB"/>
    <w:rsid w:val="00EA58CE"/>
    <w:rsid w:val="00EB0D04"/>
    <w:rsid w:val="00EB33FF"/>
    <w:rsid w:val="00EB3D1A"/>
    <w:rsid w:val="00EC2759"/>
    <w:rsid w:val="00EC7106"/>
    <w:rsid w:val="00ED0120"/>
    <w:rsid w:val="00ED3BBA"/>
    <w:rsid w:val="00ED4E12"/>
    <w:rsid w:val="00EE051B"/>
    <w:rsid w:val="00EE1818"/>
    <w:rsid w:val="00EE4391"/>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4F22"/>
    <w:rsid w:val="00F73954"/>
    <w:rsid w:val="00F94060"/>
    <w:rsid w:val="00FA0705"/>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17A72"/>
  <w14:defaultImageDpi w14:val="300"/>
  <w15:docId w15:val="{509600EB-1ED8-1048-9C7A-6266EB12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505116"/>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50511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0511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0511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9"/>
    <w:unhideWhenUsed/>
    <w:qFormat/>
    <w:rsid w:val="0050511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05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116"/>
  </w:style>
  <w:style w:type="character" w:customStyle="1" w:styleId="Heading1Char">
    <w:name w:val="Heading 1 Char"/>
    <w:aliases w:val="Pocket Char"/>
    <w:basedOn w:val="DefaultParagraphFont"/>
    <w:link w:val="Heading1"/>
    <w:uiPriority w:val="9"/>
    <w:rsid w:val="0050511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0511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05116"/>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50511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505116"/>
    <w:rPr>
      <w:b/>
      <w:sz w:val="26"/>
      <w:u w:val="singl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link w:val="CardsFont12pt"/>
    <w:uiPriority w:val="1"/>
    <w:qFormat/>
    <w:rsid w:val="00505116"/>
    <w:rPr>
      <w:b w:val="0"/>
      <w:sz w:val="22"/>
      <w:u w:val="single"/>
    </w:rPr>
  </w:style>
  <w:style w:type="character" w:styleId="Emphasis">
    <w:name w:val="Emphasis"/>
    <w:aliases w:val="Underlined,tag2,Size 10,emphasis in card,Evidence,Minimized,minimized,Highlighted,CD Card,ED - Tag,emphasis,Emphasis!!,small,Qualifications,bold underline,Shrunk,normal card text,qualifications in card,qualifications,Bold Underline,Style1,Box,s"/>
    <w:basedOn w:val="DefaultParagraphFont"/>
    <w:link w:val="textbold"/>
    <w:uiPriority w:val="20"/>
    <w:qFormat/>
    <w:rsid w:val="00505116"/>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505116"/>
    <w:rPr>
      <w:color w:val="auto"/>
      <w:u w:val="none"/>
    </w:rPr>
  </w:style>
  <w:style w:type="character" w:styleId="Hyperlink">
    <w:name w:val="Hyperlink"/>
    <w:aliases w:val="No Spacing Char,Note Level 2 Char,Small Text Char,Card Format Char,Note Level 21 Char,ClearFormatting Char,Clear Char,DDI Tag Char,Tag Title Char,No Spacing51 Char,No Spacing11211 Char,No Spacing31 Char,No Spacing22 Char,No Spacing3 Char"/>
    <w:basedOn w:val="DefaultParagraphFont"/>
    <w:link w:val="NoSpacing"/>
    <w:uiPriority w:val="99"/>
    <w:unhideWhenUsed/>
    <w:rsid w:val="00505116"/>
    <w:rPr>
      <w:color w:val="auto"/>
      <w:u w:val="none"/>
    </w:rPr>
  </w:style>
  <w:style w:type="paragraph" w:styleId="DocumentMap">
    <w:name w:val="Document Map"/>
    <w:basedOn w:val="Normal"/>
    <w:link w:val="DocumentMapChar"/>
    <w:uiPriority w:val="99"/>
    <w:semiHidden/>
    <w:unhideWhenUsed/>
    <w:rsid w:val="0050511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05116"/>
    <w:rPr>
      <w:rFonts w:ascii="Lucida Grande" w:hAnsi="Lucida Grande" w:cs="Lucida Grande"/>
    </w:rPr>
  </w:style>
  <w:style w:type="paragraph" w:customStyle="1" w:styleId="textbold">
    <w:name w:val="text bold"/>
    <w:basedOn w:val="Normal"/>
    <w:link w:val="Emphasis"/>
    <w:uiPriority w:val="20"/>
    <w:qFormat/>
    <w:rsid w:val="00FA0705"/>
    <w:pPr>
      <w:ind w:left="720"/>
      <w:jc w:val="both"/>
    </w:pPr>
    <w:rPr>
      <w:b/>
      <w:iCs/>
      <w:sz w:val="24"/>
      <w:u w:val="single"/>
    </w:rPr>
  </w:style>
  <w:style w:type="character" w:styleId="UnresolvedMention">
    <w:name w:val="Unresolved Mention"/>
    <w:basedOn w:val="DefaultParagraphFont"/>
    <w:uiPriority w:val="99"/>
    <w:semiHidden/>
    <w:unhideWhenUsed/>
    <w:rsid w:val="00D7747E"/>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1"/>
    <w:basedOn w:val="Normal"/>
    <w:link w:val="NormalWebChar"/>
    <w:uiPriority w:val="99"/>
    <w:unhideWhenUsed/>
    <w:qFormat/>
    <w:rsid w:val="00CF204C"/>
    <w:pPr>
      <w:spacing w:before="100" w:beforeAutospacing="1" w:after="100" w:afterAutospacing="1" w:line="240" w:lineRule="auto"/>
    </w:pPr>
    <w:rPr>
      <w:rFonts w:ascii="Times New Roman" w:eastAsia="Times New Roman" w:hAnsi="Times New Roman" w:cs="Times New Roman"/>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link w:val="StyleUnderline"/>
    <w:autoRedefine/>
    <w:uiPriority w:val="1"/>
    <w:qFormat/>
    <w:rsid w:val="00287135"/>
    <w:pPr>
      <w:autoSpaceDE w:val="0"/>
      <w:autoSpaceDN w:val="0"/>
      <w:adjustRightInd w:val="0"/>
      <w:spacing w:before="480" w:after="0" w:line="254" w:lineRule="auto"/>
      <w:ind w:left="432" w:right="432"/>
      <w:jc w:val="both"/>
    </w:pPr>
    <w:rPr>
      <w:rFonts w:asciiTheme="minorHAnsi" w:hAnsiTheme="minorHAnsi" w:cstheme="minorBidi"/>
      <w:u w:val="single"/>
    </w:rPr>
  </w:style>
  <w:style w:type="paragraph" w:styleId="NoSpacing">
    <w:name w:val="No Spacing"/>
    <w:aliases w:val="Note Level 2,Small Text,Card Format,Note Level 21,ClearFormatting,Clear,DDI Tag,Tag Title,No Spacing51,No Spacing11211,No Spacing31,No Spacing22,No Spacing3,Dont use,No Spacing41,No Spacing111112,Medium Grid 21,Debate Text,card,CD - Cite"/>
    <w:basedOn w:val="Heading1"/>
    <w:link w:val="Hyperlink"/>
    <w:autoRedefine/>
    <w:uiPriority w:val="99"/>
    <w:qFormat/>
    <w:rsid w:val="00287135"/>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bCs w:val="0"/>
      <w:sz w:val="24"/>
      <w:szCs w:val="24"/>
    </w:rPr>
  </w:style>
  <w:style w:type="character" w:customStyle="1" w:styleId="apple-tab-span">
    <w:name w:val="apple-tab-span"/>
    <w:basedOn w:val="DefaultParagraphFont"/>
    <w:rsid w:val="0028713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Normal (Web)1 Char"/>
    <w:link w:val="NormalWeb"/>
    <w:uiPriority w:val="99"/>
    <w:locked/>
    <w:rsid w:val="00287135"/>
    <w:rPr>
      <w:rFonts w:ascii="Times New Roman" w:eastAsia="Times New Roman" w:hAnsi="Times New Roman" w:cs="Times New Roman"/>
    </w:rPr>
  </w:style>
  <w:style w:type="paragraph" w:styleId="ListParagraph">
    <w:name w:val="List Paragraph"/>
    <w:basedOn w:val="Normal"/>
    <w:uiPriority w:val="34"/>
    <w:qFormat/>
    <w:rsid w:val="00942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869">
      <w:bodyDiv w:val="1"/>
      <w:marLeft w:val="0"/>
      <w:marRight w:val="0"/>
      <w:marTop w:val="0"/>
      <w:marBottom w:val="0"/>
      <w:divBdr>
        <w:top w:val="none" w:sz="0" w:space="0" w:color="auto"/>
        <w:left w:val="none" w:sz="0" w:space="0" w:color="auto"/>
        <w:bottom w:val="none" w:sz="0" w:space="0" w:color="auto"/>
        <w:right w:val="none" w:sz="0" w:space="0" w:color="auto"/>
      </w:divBdr>
      <w:divsChild>
        <w:div w:id="19865259">
          <w:marLeft w:val="0"/>
          <w:marRight w:val="0"/>
          <w:marTop w:val="0"/>
          <w:marBottom w:val="0"/>
          <w:divBdr>
            <w:top w:val="none" w:sz="0" w:space="0" w:color="auto"/>
            <w:left w:val="none" w:sz="0" w:space="0" w:color="auto"/>
            <w:bottom w:val="none" w:sz="0" w:space="0" w:color="auto"/>
            <w:right w:val="none" w:sz="0" w:space="0" w:color="auto"/>
          </w:divBdr>
          <w:divsChild>
            <w:div w:id="1763140218">
              <w:marLeft w:val="0"/>
              <w:marRight w:val="0"/>
              <w:marTop w:val="0"/>
              <w:marBottom w:val="0"/>
              <w:divBdr>
                <w:top w:val="none" w:sz="0" w:space="0" w:color="auto"/>
                <w:left w:val="none" w:sz="0" w:space="0" w:color="auto"/>
                <w:bottom w:val="none" w:sz="0" w:space="0" w:color="auto"/>
                <w:right w:val="none" w:sz="0" w:space="0" w:color="auto"/>
              </w:divBdr>
              <w:divsChild>
                <w:div w:id="1121608880">
                  <w:marLeft w:val="0"/>
                  <w:marRight w:val="0"/>
                  <w:marTop w:val="0"/>
                  <w:marBottom w:val="0"/>
                  <w:divBdr>
                    <w:top w:val="none" w:sz="0" w:space="0" w:color="auto"/>
                    <w:left w:val="none" w:sz="0" w:space="0" w:color="auto"/>
                    <w:bottom w:val="none" w:sz="0" w:space="0" w:color="auto"/>
                    <w:right w:val="none" w:sz="0" w:space="0" w:color="auto"/>
                  </w:divBdr>
                  <w:divsChild>
                    <w:div w:id="7364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5662">
      <w:bodyDiv w:val="1"/>
      <w:marLeft w:val="0"/>
      <w:marRight w:val="0"/>
      <w:marTop w:val="0"/>
      <w:marBottom w:val="0"/>
      <w:divBdr>
        <w:top w:val="none" w:sz="0" w:space="0" w:color="auto"/>
        <w:left w:val="none" w:sz="0" w:space="0" w:color="auto"/>
        <w:bottom w:val="none" w:sz="0" w:space="0" w:color="auto"/>
        <w:right w:val="none" w:sz="0" w:space="0" w:color="auto"/>
      </w:divBdr>
      <w:divsChild>
        <w:div w:id="831682636">
          <w:marLeft w:val="0"/>
          <w:marRight w:val="0"/>
          <w:marTop w:val="0"/>
          <w:marBottom w:val="0"/>
          <w:divBdr>
            <w:top w:val="none" w:sz="0" w:space="0" w:color="auto"/>
            <w:left w:val="none" w:sz="0" w:space="0" w:color="auto"/>
            <w:bottom w:val="none" w:sz="0" w:space="0" w:color="auto"/>
            <w:right w:val="none" w:sz="0" w:space="0" w:color="auto"/>
          </w:divBdr>
          <w:divsChild>
            <w:div w:id="1920367282">
              <w:marLeft w:val="0"/>
              <w:marRight w:val="0"/>
              <w:marTop w:val="0"/>
              <w:marBottom w:val="0"/>
              <w:divBdr>
                <w:top w:val="none" w:sz="0" w:space="0" w:color="auto"/>
                <w:left w:val="none" w:sz="0" w:space="0" w:color="auto"/>
                <w:bottom w:val="none" w:sz="0" w:space="0" w:color="auto"/>
                <w:right w:val="none" w:sz="0" w:space="0" w:color="auto"/>
              </w:divBdr>
              <w:divsChild>
                <w:div w:id="1974632383">
                  <w:marLeft w:val="0"/>
                  <w:marRight w:val="0"/>
                  <w:marTop w:val="0"/>
                  <w:marBottom w:val="0"/>
                  <w:divBdr>
                    <w:top w:val="none" w:sz="0" w:space="0" w:color="auto"/>
                    <w:left w:val="none" w:sz="0" w:space="0" w:color="auto"/>
                    <w:bottom w:val="none" w:sz="0" w:space="0" w:color="auto"/>
                    <w:right w:val="none" w:sz="0" w:space="0" w:color="auto"/>
                  </w:divBdr>
                  <w:divsChild>
                    <w:div w:id="15844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2135">
      <w:bodyDiv w:val="1"/>
      <w:marLeft w:val="0"/>
      <w:marRight w:val="0"/>
      <w:marTop w:val="0"/>
      <w:marBottom w:val="0"/>
      <w:divBdr>
        <w:top w:val="none" w:sz="0" w:space="0" w:color="auto"/>
        <w:left w:val="none" w:sz="0" w:space="0" w:color="auto"/>
        <w:bottom w:val="none" w:sz="0" w:space="0" w:color="auto"/>
        <w:right w:val="none" w:sz="0" w:space="0" w:color="auto"/>
      </w:divBdr>
    </w:div>
    <w:div w:id="1268268775">
      <w:bodyDiv w:val="1"/>
      <w:marLeft w:val="0"/>
      <w:marRight w:val="0"/>
      <w:marTop w:val="0"/>
      <w:marBottom w:val="0"/>
      <w:divBdr>
        <w:top w:val="none" w:sz="0" w:space="0" w:color="auto"/>
        <w:left w:val="none" w:sz="0" w:space="0" w:color="auto"/>
        <w:bottom w:val="none" w:sz="0" w:space="0" w:color="auto"/>
        <w:right w:val="none" w:sz="0" w:space="0" w:color="auto"/>
      </w:divBdr>
    </w:div>
    <w:div w:id="128734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settings" Target="settings.xml"/><Relationship Id="rId12" Type="http://schemas.openxmlformats.org/officeDocument/2006/relationships/hyperlink" Target="https://www.usnews.com/opinion/policy-dose/articles/2016-12-12/the-harm-of-high-drug-prices-to-americans-a-continuing-saga"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works.sjsu.edu/cgi/viewcontent.cgi?referer=https://www.google.com/&amp;httpsredir=1&amp;article=1017&amp;context=comparativephilosophy"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sci-hub.se/https://doi.org/10.1093/irap/lci103"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711</TotalTime>
  <Pages>20</Pages>
  <Words>21081</Words>
  <Characters>120162</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140962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8</cp:revision>
  <dcterms:created xsi:type="dcterms:W3CDTF">2021-10-08T02:44:00Z</dcterms:created>
  <dcterms:modified xsi:type="dcterms:W3CDTF">2021-10-22T01:51:00Z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