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405A57" w:rsidP="00405A57">
      <w:pPr>
        <w:pStyle w:val="Heading1"/>
      </w:pPr>
      <w:r>
        <w:t xml:space="preserve">1NC v Strake SA aff </w:t>
      </w:r>
    </w:p>
    <w:p w:rsidR="00405A57" w:rsidRDefault="00405A57" w:rsidP="00405A57">
      <w:pPr>
        <w:pStyle w:val="Heading2"/>
      </w:pPr>
      <w:r>
        <w:t>K</w:t>
      </w:r>
    </w:p>
    <w:p w:rsidR="00405A57" w:rsidRDefault="00405A57" w:rsidP="00405A57">
      <w:pPr>
        <w:pStyle w:val="Heading4"/>
      </w:pPr>
      <w:r>
        <w:t xml:space="preserve">Our thesis is that the world is in </w:t>
      </w:r>
      <w:r w:rsidRPr="00613E65">
        <w:rPr>
          <w:i/>
          <w:u w:val="single"/>
        </w:rPr>
        <w:t>fundamental opposition</w:t>
      </w:r>
      <w:r>
        <w:t xml:space="preserve"> to disability – disability is always caught in an ontological antagonism due to disgust, psychogenesis, and the ‘disability drive’. The 1ACs attempt at progress through policy and very placement in civil society is a way to export disgust based ontological violence. </w:t>
      </w:r>
    </w:p>
    <w:p w:rsidR="00405A57" w:rsidRDefault="00405A57" w:rsidP="00405A57">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 BL</w:t>
      </w:r>
      <w:r>
        <w:tab/>
      </w:r>
    </w:p>
    <w:p w:rsidR="00405A57" w:rsidRDefault="00405A57" w:rsidP="00405A57">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 xml:space="preserve">correction have been the </w:t>
      </w:r>
      <w:r w:rsidRPr="001005B7">
        <w:rPr>
          <w:rStyle w:val="Emphasis"/>
          <w:szCs w:val="22"/>
        </w:rPr>
        <w:t xml:space="preserve">primary </w:t>
      </w:r>
      <w:r w:rsidRPr="009E1BCF">
        <w:rPr>
          <w:rStyle w:val="Emphasis"/>
          <w:szCs w:val="22"/>
          <w:highlight w:val="cyan"/>
        </w:rPr>
        <w:t>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5D313B">
        <w:rPr>
          <w:sz w:val="16"/>
          <w:szCs w:val="22"/>
        </w:rPr>
        <w:t xml:space="preserve">. </w:t>
      </w:r>
      <w:r w:rsidRPr="005D313B">
        <w:rPr>
          <w:rStyle w:val="Emphasis"/>
          <w:szCs w:val="22"/>
        </w:rPr>
        <w:t xml:space="preserve">It is this deficit of credibility that provides the spurious 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5D313B">
        <w:rPr>
          <w:rStyle w:val="Emphasis"/>
          <w:szCs w:val="22"/>
        </w:rPr>
        <w:t>the treatment of disabled people in the modern period is a barbaric sideshow in the long march of the ‘civilising process’</w:t>
      </w:r>
      <w:r w:rsidRPr="00625851">
        <w:rPr>
          <w:sz w:val="16"/>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405A57" w:rsidRDefault="00405A57" w:rsidP="00405A57">
      <w:pPr>
        <w:pStyle w:val="Heading2"/>
      </w:pPr>
      <w:r>
        <w:t>Hughes Link Wall</w:t>
      </w:r>
    </w:p>
    <w:p w:rsidR="00405A57" w:rsidRDefault="00405A57" w:rsidP="00405A57">
      <w:pPr>
        <w:pStyle w:val="Heading3"/>
      </w:pPr>
      <w:r>
        <w:t xml:space="preserve">Here are specific lines out of the aff that prove they are consistent with our theory of power </w:t>
      </w:r>
    </w:p>
    <w:p w:rsidR="00405A57" w:rsidRDefault="00405A57" w:rsidP="00405A57">
      <w:r>
        <w:t>Their Pappas tag: “</w:t>
      </w:r>
      <w:r w:rsidRPr="00405A57">
        <w:t xml:space="preserve">Ethical responses are based on particular responses to problems in the world, which justifies focus on </w:t>
      </w:r>
      <w:r w:rsidRPr="00405A57">
        <w:rPr>
          <w:rStyle w:val="StyleUnderline"/>
          <w:highlight w:val="cyan"/>
        </w:rPr>
        <w:t>resolving material conditions of violence.</w:t>
      </w:r>
      <w:r>
        <w:t>”</w:t>
      </w:r>
    </w:p>
    <w:p w:rsidR="0074103D" w:rsidRDefault="0074103D" w:rsidP="0074103D">
      <w:r>
        <w:t xml:space="preserve">Material oppression assumes the body is a static space upon which violenced is mapped. disability (can be) cognitive and the response to it is psychological there is a pre material violence that they cant conceptualize To protect the material body as the core of your praxis is to reproduce and explicitly maintain a healthy able body that ignores the psychological implications </w:t>
      </w:r>
    </w:p>
    <w:p w:rsidR="00405A57" w:rsidRDefault="00405A57" w:rsidP="00405A57">
      <w:r>
        <w:t xml:space="preserve">Their AP evidence – the fact that </w:t>
      </w:r>
      <w:r w:rsidR="0074103D">
        <w:t xml:space="preserve">their very inhency for the plan is based on </w:t>
      </w:r>
      <w:r>
        <w:t xml:space="preserve">the sates record as a way of interpreting violence proves that they bow down to the state to see how violence is interpreted our violence is strategically taken out of the picture to continue gratioutous violence </w:t>
      </w:r>
    </w:p>
    <w:p w:rsidR="00405A57" w:rsidRDefault="00405A57" w:rsidP="00405A57">
      <w:r>
        <w:t>Their tagging of their Quinn evidence: “</w:t>
      </w:r>
      <w:r w:rsidRPr="00405A57">
        <w:t>Statehouses are key to spearhead reform.</w:t>
      </w:r>
      <w:r>
        <w:t>” – their attempt at using the state for reform proves they are caught in an able bodied fantasy of progress</w:t>
      </w:r>
    </w:p>
    <w:p w:rsidR="00904BDC" w:rsidRDefault="00904BDC" w:rsidP="00405A57">
      <w:pPr>
        <w:rPr>
          <w:highlight w:val="cyan"/>
          <w:u w:val="single"/>
        </w:rPr>
      </w:pPr>
      <w:r>
        <w:t>Their Malhotra evidence</w:t>
      </w:r>
      <w:r w:rsidR="00801E24">
        <w:t xml:space="preserve">: </w:t>
      </w:r>
      <w:r w:rsidR="00801E24" w:rsidRPr="00C17875">
        <w:rPr>
          <w:highlight w:val="cyan"/>
          <w:u w:val="single"/>
        </w:rPr>
        <w:t>countries, such as Canada, have included disability as a long established</w:t>
      </w:r>
      <w:r w:rsidR="00801E24" w:rsidRPr="00C17875">
        <w:rPr>
          <w:u w:val="single"/>
        </w:rPr>
        <w:t xml:space="preserve"> legal </w:t>
      </w:r>
      <w:r w:rsidR="00801E24" w:rsidRPr="00C17875">
        <w:rPr>
          <w:highlight w:val="cyan"/>
          <w:u w:val="single"/>
        </w:rPr>
        <w:t>criterion</w:t>
      </w:r>
      <w:r w:rsidR="00801E24" w:rsidRPr="00C17875">
        <w:rPr>
          <w:u w:val="single"/>
        </w:rPr>
        <w:t xml:space="preserve"> for what is known a</w:t>
      </w:r>
      <w:r w:rsidR="00801E24" w:rsidRPr="00C17875">
        <w:rPr>
          <w:highlight w:val="cyan"/>
          <w:u w:val="single"/>
        </w:rPr>
        <w:t>s affirmative action</w:t>
      </w:r>
      <w:r w:rsidR="00801E24" w:rsidRPr="00C17875">
        <w:rPr>
          <w:u w:val="single"/>
        </w:rPr>
        <w:t xml:space="preserve"> in the United States </w:t>
      </w:r>
      <w:r w:rsidR="00801E24" w:rsidRPr="00C17875">
        <w:rPr>
          <w:highlight w:val="cyan"/>
          <w:u w:val="single"/>
        </w:rPr>
        <w:t xml:space="preserve">and it is </w:t>
      </w:r>
      <w:r w:rsidR="00801E24" w:rsidRPr="00C17875">
        <w:rPr>
          <w:b/>
          <w:iCs/>
          <w:highlight w:val="cyan"/>
          <w:u w:val="single"/>
          <w:bdr w:val="single" w:sz="8" w:space="0" w:color="auto"/>
        </w:rPr>
        <w:t>very much</w:t>
      </w:r>
      <w:r w:rsidR="00801E24" w:rsidRPr="00C17875">
        <w:rPr>
          <w:highlight w:val="cyan"/>
          <w:u w:val="single"/>
        </w:rPr>
        <w:t xml:space="preserve"> part of</w:t>
      </w:r>
      <w:r w:rsidR="00801E24" w:rsidRPr="00C17875">
        <w:rPr>
          <w:u w:val="single"/>
        </w:rPr>
        <w:t xml:space="preserve"> the </w:t>
      </w:r>
      <w:r w:rsidR="00801E24" w:rsidRPr="00C17875">
        <w:rPr>
          <w:highlight w:val="cyan"/>
          <w:u w:val="single"/>
        </w:rPr>
        <w:t>conversations</w:t>
      </w:r>
    </w:p>
    <w:p w:rsidR="00801E24" w:rsidRDefault="00801E24" w:rsidP="00405A57">
      <w:r>
        <w:t xml:space="preserve">Inclusionary / respectability politics </w:t>
      </w:r>
    </w:p>
    <w:p w:rsidR="00801E24" w:rsidRDefault="00801E24" w:rsidP="00405A57">
      <w:r>
        <w:t xml:space="preserve">Their Bleiker evidence </w:t>
      </w:r>
    </w:p>
    <w:p w:rsidR="00801E24" w:rsidRDefault="00801E24" w:rsidP="00405A57">
      <w:r w:rsidRPr="00801E24">
        <w:t>Providing a theory of power deploy knowledge</w:t>
      </w:r>
      <w:r>
        <w:t xml:space="preserve"> anti crip knowledge deployed bad </w:t>
      </w:r>
    </w:p>
    <w:p w:rsidR="00801E24" w:rsidRPr="005D313B" w:rsidRDefault="00801E24" w:rsidP="00405A57"/>
    <w:p w:rsidR="00405A57" w:rsidRPr="00781A7D" w:rsidRDefault="00405A57" w:rsidP="00405A57">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 – they </w:t>
      </w:r>
      <w:r>
        <w:rPr>
          <w:i/>
          <w:color w:val="000000" w:themeColor="text1"/>
        </w:rPr>
        <w:t xml:space="preserve">do not </w:t>
      </w:r>
      <w:r>
        <w:rPr>
          <w:color w:val="000000" w:themeColor="text1"/>
        </w:rPr>
        <w:t xml:space="preserve">get to weigh the case. </w:t>
      </w:r>
    </w:p>
    <w:p w:rsidR="00405A57" w:rsidRPr="00E10DAE" w:rsidRDefault="00405A57" w:rsidP="00405A57">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405A57" w:rsidRDefault="00405A57" w:rsidP="00405A57">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405A57" w:rsidRPr="00812D2C" w:rsidRDefault="00405A57" w:rsidP="00405A57">
      <w:pPr>
        <w:pStyle w:val="Heading4"/>
      </w:pPr>
      <w:r>
        <w:t>Vote negative to affirm radical failure – to affirm the idea that disability is something that is beautiful which is in opposition to the world’s biopolitical portrayal of disability.</w:t>
      </w:r>
    </w:p>
    <w:p w:rsidR="00405A57" w:rsidRPr="00812D2C" w:rsidRDefault="00405A57" w:rsidP="00405A57">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405A57" w:rsidRPr="001F7E99" w:rsidRDefault="00405A57" w:rsidP="00405A57">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F843A7">
        <w:rPr>
          <w:rStyle w:val="Emphasis"/>
          <w:highlight w:val="cyan"/>
        </w:rPr>
        <w:t>Ableism is founded on a utopian hermeneutics of the desirable and the disgusting</w:t>
      </w:r>
      <w:r w:rsidRPr="00F843A7">
        <w:rPr>
          <w:rStyle w:val="Emphasis"/>
        </w:rPr>
        <w:t xml:space="preserve"> </w:t>
      </w:r>
      <w:r w:rsidRPr="00F843A7">
        <w:rPr>
          <w:rStyle w:val="StyleUnderlin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405A57" w:rsidRDefault="00405A57" w:rsidP="00405A57">
      <w:pPr>
        <w:pStyle w:val="Heading2"/>
      </w:pPr>
      <w:r>
        <w:t>Case</w:t>
      </w:r>
    </w:p>
    <w:p w:rsidR="00405A57" w:rsidRPr="00D31913" w:rsidRDefault="00405A57" w:rsidP="00405A57">
      <w:pPr>
        <w:pStyle w:val="Heading4"/>
      </w:pPr>
      <w:r>
        <w:t>The 1ACs failure to analyze how the disability drive effects their politics both dooms them to fail and deems their impacts inevitable. All subjectivities are governed by self reflection - d</w:t>
      </w:r>
      <w:r w:rsidRPr="00D31913">
        <w:t xml:space="preserve">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w:t>
      </w:r>
      <w:r>
        <w:t>– to regain itself the ego invokes</w:t>
      </w:r>
      <w:r w:rsidRPr="00D31913">
        <w:t xml:space="preserve"> secondary pity - a distancing of the ego from disability by invoking emotions of superiority through sadness and a desire to eliminate disability from social consciousness through medicalization or institutionalization.</w:t>
      </w:r>
      <w:r>
        <w:t xml:space="preserve"> </w:t>
      </w:r>
    </w:p>
    <w:p w:rsidR="00405A57" w:rsidRPr="007877F6" w:rsidRDefault="00405A57" w:rsidP="00405A57">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405A57" w:rsidRDefault="00405A57" w:rsidP="00405A57">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C31DBD">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which menaces the ego‟s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person‟s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w:t>
      </w:r>
      <w:r>
        <w:rPr>
          <w:rStyle w:val="StyleUnderline"/>
        </w:rPr>
        <w:t>s</w:t>
      </w:r>
      <w:r w:rsidRPr="00C31DBD">
        <w:rPr>
          <w:rStyle w:val="StyleUnderline"/>
        </w:rPr>
        <w: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A90609">
        <w:rPr>
          <w:sz w:val="16"/>
          <w:highlight w:val="cyan"/>
        </w:rPr>
        <w:t xml:space="preserve">: </w:t>
      </w:r>
      <w:r w:rsidRPr="00A90609">
        <w:rPr>
          <w:rStyle w:val="StyleUnderline"/>
          <w:highlight w:val="cyan"/>
        </w:rPr>
        <w:t>these affects enlarge the ego of the pitier</w:t>
      </w:r>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801E24" w:rsidRDefault="00801E24" w:rsidP="0074103D">
      <w:pPr>
        <w:rPr>
          <w:sz w:val="16"/>
        </w:rPr>
      </w:pPr>
      <w:bookmarkStart w:id="0" w:name="_GoBack"/>
      <w:bookmarkEnd w:id="0"/>
    </w:p>
    <w:p w:rsidR="00801E24" w:rsidRDefault="00801E24" w:rsidP="0074103D">
      <w:pPr>
        <w:rPr>
          <w:sz w:val="16"/>
        </w:rPr>
      </w:pPr>
    </w:p>
    <w:p w:rsidR="00405A57" w:rsidRDefault="00405A57" w:rsidP="00405A57">
      <w:pPr>
        <w:pStyle w:val="Heading4"/>
      </w:pPr>
      <w:r>
        <w:t xml:space="preserve">The 1ACs attempt at demands on the state causes desire to be forfeited for the sake of making an impossible demand from a repressive regime– this destroys agency and causes passivity. Only saying </w:t>
      </w:r>
      <w:r w:rsidR="0074103D" w:rsidRPr="0074103D">
        <w:rPr>
          <w:i/>
          <w:u w:val="single"/>
        </w:rPr>
        <w:t>NO</w:t>
      </w:r>
      <w:r>
        <w:t xml:space="preserve"> to the 1AC can solve. </w:t>
      </w:r>
    </w:p>
    <w:p w:rsidR="00405A57" w:rsidRPr="00234AE8" w:rsidRDefault="00405A57" w:rsidP="00405A57">
      <w:pPr>
        <w:spacing w:line="256" w:lineRule="auto"/>
        <w:rPr>
          <w:rFonts w:eastAsia="Cambria" w:cs="Times New Roman"/>
        </w:rPr>
      </w:pPr>
      <w:r w:rsidRPr="00234AE8">
        <w:rPr>
          <w:rFonts w:eastAsia="Calibri"/>
          <w:b/>
          <w:bCs/>
          <w:sz w:val="24"/>
        </w:rPr>
        <w:t>Lundberg</w:t>
      </w:r>
      <w:r w:rsidRPr="00234AE8">
        <w:rPr>
          <w:rFonts w:eastAsia="Cambria" w:cs="Times New Roman"/>
          <w:b/>
          <w:bCs/>
          <w:sz w:val="26"/>
        </w:rPr>
        <w:t xml:space="preserve"> </w:t>
      </w:r>
      <w:r w:rsidRPr="00234AE8">
        <w:rPr>
          <w:rFonts w:eastAsia="Calibri"/>
          <w:b/>
          <w:bCs/>
          <w:sz w:val="24"/>
        </w:rPr>
        <w:t>12</w:t>
      </w:r>
      <w:r w:rsidRPr="00234AE8">
        <w:rPr>
          <w:rFonts w:eastAsia="Cambria" w:cs="Times New Roman"/>
        </w:rPr>
        <w:t xml:space="preserve"> [Christian O. Lundberg, Director of Cultural Studies and Associate Professor of Rhetoric at The University of North Carolina at Chapel Hill, 2012, </w:t>
      </w:r>
      <w:r w:rsidRPr="00234AE8">
        <w:rPr>
          <w:rFonts w:eastAsia="Cambria" w:cs="Times New Roman"/>
          <w:i/>
        </w:rPr>
        <w:t>Lacan in Public: Psychoanalysis and the Science of Rhetoric</w:t>
      </w:r>
      <w:r w:rsidRPr="00234AE8">
        <w:rPr>
          <w:rFonts w:eastAsia="Cambria" w:cs="Times New Roman"/>
        </w:rPr>
        <w:t>, pub. University Alabama Press, p. 165-175]</w:t>
      </w:r>
    </w:p>
    <w:p w:rsidR="00405A57" w:rsidRPr="004D32D6" w:rsidRDefault="00405A57" w:rsidP="00EC7349">
      <w:pPr>
        <w:spacing w:line="256" w:lineRule="auto"/>
        <w:rPr>
          <w:sz w:val="16"/>
        </w:rPr>
      </w:pPr>
      <w:r w:rsidRPr="00234AE8">
        <w:rPr>
          <w:rFonts w:eastAsia="Cambria" w:cs="Times New Roman"/>
          <w:sz w:val="16"/>
        </w:rPr>
        <w:t xml:space="preserve">As a mode of individuation and subjectivization, egos are economies of frustration and compensation. </w:t>
      </w:r>
      <w:r w:rsidRPr="00234AE8">
        <w:rPr>
          <w:rFonts w:eastAsia="Cambria" w:cs="Times New Roman"/>
          <w:sz w:val="24"/>
          <w:u w:val="single"/>
        </w:rPr>
        <w:t xml:space="preserve">This economy relies on a split in the freudian demand, which is both a demand to satiate a specific need and a demand for the addressee to provide an automatic fulfillment of a need. </w:t>
      </w:r>
      <w:r w:rsidRPr="00234AE8">
        <w:rPr>
          <w:rFonts w:eastAsia="Cambria" w:cs="Times New Roman"/>
          <w:sz w:val="24"/>
          <w:highlight w:val="cyan"/>
          <w:u w:val="single"/>
        </w:rPr>
        <w:t>The generative power of the demand relies on</w:t>
      </w:r>
      <w:r w:rsidRPr="00234AE8">
        <w:rPr>
          <w:rFonts w:eastAsia="Cambria" w:cs="Times New Roman"/>
          <w:sz w:val="24"/>
          <w:u w:val="single"/>
        </w:rPr>
        <w:t xml:space="preserve"> two things: </w:t>
      </w:r>
      <w:r w:rsidRPr="00234AE8">
        <w:rPr>
          <w:rFonts w:eastAsia="Cambria" w:cs="Times New Roman"/>
          <w:sz w:val="24"/>
          <w:highlight w:val="cyan"/>
          <w:u w:val="single"/>
        </w:rPr>
        <w:t>the split between the demand and the need that it attempts to redress</w:t>
      </w:r>
      <w:r w:rsidRPr="00234AE8">
        <w:rPr>
          <w:rFonts w:eastAsia="Cambria" w:cs="Times New Roman"/>
          <w:sz w:val="24"/>
          <w:u w:val="single"/>
        </w:rPr>
        <w:t>, and the fact that some demands will be refused</w:t>
      </w:r>
      <w:r w:rsidRPr="00234AE8">
        <w:rPr>
          <w:rFonts w:eastAsia="Cambria" w:cs="Times New Roman"/>
          <w:sz w:val="16"/>
        </w:rPr>
        <w:t>. This economy of need and frustration works because the refusal of a specific need articulated as a demand on another is also a refusal of the idea that the addressee of the demand can fulfill all the subject’s needs, requiring a set of compensatory economic functions to negotiate the refusal of specific demands. “</w:t>
      </w:r>
      <w:r w:rsidRPr="00234AE8">
        <w:rPr>
          <w:rFonts w:eastAsia="Cambria" w:cs="Times New Roman"/>
          <w:sz w:val="24"/>
          <w:highlight w:val="cyan"/>
          <w:u w:val="single"/>
        </w:rPr>
        <w:t>Ego,” then, names the economy of compensatory subjectivization driven by the repetition and refusal of demands</w:t>
      </w:r>
      <w:r w:rsidRPr="00234AE8">
        <w:rPr>
          <w:rFonts w:eastAsia="Cambria" w:cs="Times New Roman"/>
          <w:sz w:val="16"/>
        </w:rPr>
        <w:t xml:space="preserve">. The nascent subject presents wants and needs in the form of the demand, but </w:t>
      </w:r>
      <w:r w:rsidRPr="00234AE8">
        <w:rPr>
          <w:rFonts w:eastAsia="Cambria" w:cs="Times New Roman"/>
          <w:sz w:val="24"/>
          <w:u w:val="single"/>
        </w:rPr>
        <w:t>the role of the demand is not the simple fulfillment of these wants and needs. The demand and its refusal are the fulcrum on which the identity and insularity of the subject are produced:</w:t>
      </w:r>
      <w:r w:rsidRPr="00234AE8">
        <w:rPr>
          <w:rFonts w:eastAsia="Cambria" w:cs="Times New Roman"/>
          <w:sz w:val="16"/>
        </w:rPr>
        <w:t xml:space="preserve"> an unformed amalgam of needs and articulated demands is transformed into a subject that negotiates the vicissitudes of life with others. Put in the meta- phor of developmental psychology, an infant lodges the instinctual demands of the id on others but these demands cannot be, and for the sake of develop- ment, must not be fulfilled. Thus, pop psychology observations that </w:t>
      </w:r>
      <w:r w:rsidRPr="00234AE8">
        <w:rPr>
          <w:rFonts w:eastAsia="Cambria" w:cs="Times New Roman"/>
          <w:sz w:val="24"/>
          <w:highlight w:val="cyan"/>
          <w:u w:val="single"/>
        </w:rPr>
        <w:t>the incessant demands</w:t>
      </w:r>
      <w:r w:rsidRPr="00234AE8">
        <w:rPr>
          <w:rFonts w:eastAsia="Cambria" w:cs="Times New Roman"/>
          <w:sz w:val="16"/>
        </w:rPr>
        <w:t xml:space="preserve"> of children </w:t>
      </w:r>
      <w:r w:rsidRPr="00234AE8">
        <w:rPr>
          <w:rFonts w:eastAsia="Cambria" w:cs="Times New Roman"/>
          <w:sz w:val="24"/>
          <w:highlight w:val="cyan"/>
          <w:u w:val="single"/>
        </w:rPr>
        <w:t>for impermissible object</w:t>
      </w:r>
      <w:r w:rsidRPr="00234AE8">
        <w:rPr>
          <w:rFonts w:eastAsia="Cambria" w:cs="Times New Roman"/>
          <w:sz w:val="24"/>
          <w:u w:val="single"/>
        </w:rPr>
        <w:t>s</w:t>
      </w:r>
      <w:r w:rsidRPr="00234AE8">
        <w:rPr>
          <w:rFonts w:eastAsia="Cambria" w:cs="Times New Roman"/>
          <w:sz w:val="16"/>
        </w:rPr>
        <w:t xml:space="preserve"> (“may i have a fourth helping of dessert”) or meanings that culminate in ungroundable authori- tative pronouncements (the game of asking never ending “whys”) </w:t>
      </w:r>
      <w:r w:rsidRPr="00234AE8">
        <w:rPr>
          <w:rFonts w:eastAsia="Cambria" w:cs="Times New Roman"/>
          <w:sz w:val="24"/>
          <w:highlight w:val="cyan"/>
          <w:u w:val="single"/>
        </w:rPr>
        <w:t>are less</w:t>
      </w:r>
      <w:r w:rsidRPr="00234AE8">
        <w:rPr>
          <w:rFonts w:eastAsia="Cambria" w:cs="Times New Roman"/>
          <w:sz w:val="24"/>
          <w:u w:val="single"/>
        </w:rPr>
        <w:t xml:space="preserve"> </w:t>
      </w:r>
      <w:r w:rsidRPr="00234AE8">
        <w:rPr>
          <w:rFonts w:eastAsia="Cambria" w:cs="Times New Roman"/>
          <w:sz w:val="24"/>
          <w:highlight w:val="cyan"/>
          <w:u w:val="single"/>
        </w:rPr>
        <w:t>about satisfaction of a request than the identity-producing effects of the parental “no.”</w:t>
      </w:r>
      <w:r w:rsidRPr="00234AE8">
        <w:rPr>
          <w:rFonts w:eastAsia="Cambria" w:cs="Times New Roman"/>
          <w:sz w:val="16"/>
        </w:rPr>
        <w:t xml:space="preserve"> in “The Question of Lay Analysis,” freud argues that “if . . . demands meet with no satisfaction, intolerable conditions arise . . . [and] . . . the ego begins to function. . . . [T]he driving force that sets the vehicle in mo- tion is derived from the id, the ego . . . undertakes the steering. . . . The task of the ego [is] . . . to mediate between the claims of the id and the objections of the external world.”31 Later, in Group Psychology and the Analysis of the Ego, and Civilization and Its Discontents, freud relocates the site of the ego’s genesis beyond the parent/child relationship and in the broader social relationships that animate it. Life with others inevitably produces blockages in the indi- vidual’s attempts to fulfill certain desires, since some demands for the fulfill- ment of desires must be frustrated. This blockage produces feelings of guilt, which in turn are sublimated as a general social morality. The frustration of demand is both productive in that it authorizes social moral codes and, by ex- tension, civilization writ large, although it does so at the cost of imposing a contested relationship between desire and social mores.32 Confronted by student calls to join the movement of 1968 Lacan famously quipped: </w:t>
      </w:r>
      <w:r w:rsidRPr="00234AE8">
        <w:rPr>
          <w:rFonts w:eastAsia="Cambria" w:cs="Times New Roman"/>
          <w:sz w:val="24"/>
          <w:u w:val="single"/>
        </w:rPr>
        <w:t>“as hysterics you demand a new master: you will get it!” under- standing the meaning of his response requires a treatment of Lacan’s theory of</w:t>
      </w:r>
      <w:r w:rsidRPr="00234AE8">
        <w:rPr>
          <w:rFonts w:eastAsia="Cambria" w:cs="Times New Roman"/>
          <w:sz w:val="16"/>
        </w:rPr>
        <w:t xml:space="preserve"> </w:t>
      </w:r>
      <w:r w:rsidRPr="00234AE8">
        <w:rPr>
          <w:rFonts w:eastAsia="Cambria" w:cs="Times New Roman"/>
          <w:sz w:val="24"/>
          <w:u w:val="single"/>
        </w:rPr>
        <w:t xml:space="preserve">the demand and its relationship to hysteria as an enabling and constraining political subject position. </w:t>
      </w:r>
      <w:r w:rsidRPr="00234AE8">
        <w:rPr>
          <w:rFonts w:eastAsia="Cambria" w:cs="Times New Roman"/>
          <w:sz w:val="16"/>
        </w:rPr>
        <w:t>Lacan’s theory of the demand picks up at</w:t>
      </w:r>
      <w:r w:rsidRPr="00234AE8">
        <w:rPr>
          <w:rFonts w:eastAsia="Cambria" w:cs="Times New Roman"/>
          <w:sz w:val="24"/>
          <w:u w:val="single"/>
        </w:rPr>
        <w:t xml:space="preserve"> </w:t>
      </w:r>
      <w:r w:rsidRPr="00234AE8">
        <w:rPr>
          <w:rFonts w:eastAsia="Cambria" w:cs="Times New Roman"/>
          <w:sz w:val="16"/>
        </w:rPr>
        <w:t>freud’s movement outward from the paradigmatic relationships between the parent/ child and individual/civilization toward a more general account of the sub- ject, sociality, and significatio</w:t>
      </w:r>
      <w:r w:rsidRPr="00234AE8">
        <w:rPr>
          <w:rFonts w:eastAsia="Cambria" w:cs="Times New Roman"/>
          <w:sz w:val="24"/>
          <w:u w:val="single"/>
        </w:rPr>
        <w:t>n</w:t>
      </w:r>
      <w:r w:rsidRPr="00234AE8">
        <w:rPr>
          <w:rFonts w:eastAsia="Cambria" w:cs="Times New Roman"/>
          <w:sz w:val="16"/>
        </w:rPr>
        <w:t xml:space="preserve">. The infrastructure supporting this theoreti- cal movement transposes freud’s comparatively natural and genetic account of development to a set of metaphors for dealing with the subject’s entry into signification. </w:t>
      </w:r>
      <w:r w:rsidRPr="00234AE8">
        <w:rPr>
          <w:rFonts w:eastAsia="Cambria" w:cs="Times New Roman"/>
          <w:sz w:val="24"/>
          <w:u w:val="single"/>
        </w:rPr>
        <w:t>As already noted, the Lacanian aphorism that “the signifier represents a subject for another signifier inverts the conventional wisdom that a pre-given subject uses language as an instrument to communicate its subjective inten- tions.”</w:t>
      </w:r>
      <w:r w:rsidRPr="00234AE8">
        <w:rPr>
          <w:rFonts w:eastAsia="Cambria" w:cs="Times New Roman"/>
          <w:sz w:val="16"/>
        </w:rPr>
        <w:t xml:space="preserve">33 The paradoxical implication of this reversal is that the subject is simultaneously produced and disfigured by its unavoidable insertion into the space of the Symbolic. An Es assumes an identity as a subject as a way of ac- commodating to the Symbolic’s demands and as a node for producing de- mands on its others or of being recognized as a subject.34 As i have already argued, the demand demonstrates that the enjoyment of one’s own subjectivity is useless surplus produced in the gap between the Es (or it) and the ideal i. </w:t>
      </w:r>
      <w:r w:rsidRPr="00234AE8">
        <w:rPr>
          <w:rFonts w:eastAsia="Cambria" w:cs="Times New Roman"/>
          <w:sz w:val="24"/>
          <w:u w:val="single"/>
        </w:rPr>
        <w:t xml:space="preserve">As a result, </w:t>
      </w:r>
      <w:r w:rsidRPr="00234AE8">
        <w:rPr>
          <w:rFonts w:eastAsia="Cambria" w:cs="Times New Roman"/>
          <w:sz w:val="24"/>
          <w:highlight w:val="cyan"/>
          <w:u w:val="single"/>
        </w:rPr>
        <w:t>there is excess jouissance that remains even after its reduction to hegemony</w:t>
      </w:r>
      <w:r w:rsidRPr="00234AE8">
        <w:rPr>
          <w:rFonts w:eastAsia="Cambria" w:cs="Times New Roman"/>
          <w:sz w:val="24"/>
          <w:u w:val="single"/>
        </w:rPr>
        <w:t>. This remainder may even be logically prior to hegemony, in that it is a useless but ritually repeated retroactive act of naming the self that produces the subject and therefore conditions possibility for investment in an identitarian configuration</w:t>
      </w:r>
      <w:r w:rsidRPr="00234AE8">
        <w:rPr>
          <w:rFonts w:eastAsia="Cambria" w:cs="Times New Roman"/>
          <w:sz w:val="16"/>
        </w:rPr>
        <w:t>. The site of this excess, where the subject negotiates the terms of a non- relationship with the Symbolic, is also the primary site differentiating need, demand, and desire. need approximates the position of the freudian id, in that it is a precursor to demand</w:t>
      </w:r>
      <w:r w:rsidRPr="00234AE8">
        <w:rPr>
          <w:rFonts w:eastAsia="Cambria" w:cs="Times New Roman"/>
          <w:sz w:val="16"/>
          <w:highlight w:val="cyan"/>
        </w:rPr>
        <w:t xml:space="preserve">. </w:t>
      </w:r>
      <w:r w:rsidRPr="00234AE8">
        <w:rPr>
          <w:rFonts w:eastAsia="Cambria" w:cs="Times New Roman"/>
          <w:sz w:val="24"/>
          <w:highlight w:val="cyan"/>
          <w:u w:val="single"/>
        </w:rPr>
        <w:t>Demand is the filtering of the need through signification</w:t>
      </w:r>
      <w:r w:rsidRPr="00234AE8">
        <w:rPr>
          <w:rFonts w:eastAsia="Cambria" w:cs="Times New Roman"/>
          <w:sz w:val="16"/>
        </w:rPr>
        <w:t>, but as Sheridan notes, “there is no adequation between need and demand.”35 The same type of split that inheres in the freudian demand inheres in the Lacanian demand, although in Lacan’s case it is crucial to no- tice that the split does not derive from the empirical impossibility of ful- filling demands as much as it stems from the impossibility of articulating needs to or receiving a satisfactory response from the other. Thus</w:t>
      </w:r>
      <w:r w:rsidRPr="00234AE8">
        <w:rPr>
          <w:rFonts w:eastAsia="Cambria" w:cs="Times New Roman"/>
          <w:sz w:val="24"/>
          <w:u w:val="single"/>
        </w:rPr>
        <w:t xml:space="preserve">, </w:t>
      </w:r>
      <w:r w:rsidRPr="00234AE8">
        <w:rPr>
          <w:rFonts w:eastAsia="Cambria" w:cs="Times New Roman"/>
          <w:sz w:val="24"/>
          <w:highlight w:val="cyan"/>
          <w:u w:val="single"/>
        </w:rPr>
        <w:t>the specificity of the demand becomes less relevant than the structural fact that de- mand presupposes the ability of the addressee to fulfill the demand</w:t>
      </w:r>
      <w:r w:rsidRPr="00234AE8">
        <w:rPr>
          <w:rFonts w:eastAsia="Cambria" w:cs="Times New Roman"/>
          <w:sz w:val="16"/>
          <w:highlight w:val="cyan"/>
        </w:rPr>
        <w:t>.</w:t>
      </w:r>
      <w:r w:rsidRPr="00234AE8">
        <w:rPr>
          <w:rFonts w:eastAsia="Cambria" w:cs="Times New Roman"/>
          <w:sz w:val="16"/>
        </w:rPr>
        <w:t xml:space="preserve"> This impossibility points to the paradoxical nature of demand: the demand is less a way of addressing need to the other than a call for love and recognition by it. “in this way,” writes Lacan, “demand annuls the particularity of everything that can be granted by transmuting it into a proof of love, and the very satisfactions that it obtains for need are reduced to the level of being no more than the crushing of the demand for love.”36 </w:t>
      </w:r>
      <w:r w:rsidRPr="00234AE8">
        <w:rPr>
          <w:rFonts w:eastAsia="Cambria" w:cs="Times New Roman"/>
          <w:sz w:val="24"/>
          <w:u w:val="single"/>
        </w:rPr>
        <w:t>The other cannot, by definition, ever give this gift: the starting presupposition of the mirror stage is the constitutive impossibility of comfortably inhabiting the Symbolic</w:t>
      </w:r>
      <w:r w:rsidRPr="00234AE8">
        <w:rPr>
          <w:rFonts w:eastAsia="Cambria" w:cs="Times New Roman"/>
          <w:sz w:val="16"/>
        </w:rPr>
        <w:t>. The structural impossibility of fulfilling demands resonates with the freudian de- mand in that the frustration of demand produces the articulation of desire. Thus, Lacan argues that “</w:t>
      </w:r>
      <w:r w:rsidRPr="00234AE8">
        <w:rPr>
          <w:rFonts w:eastAsia="Cambria" w:cs="Times New Roman"/>
          <w:sz w:val="24"/>
          <w:u w:val="single"/>
        </w:rPr>
        <w:t>desire is neither the appetite for satisfaction, nor the demand for love, but the difference that results from the subtraction of the first from the second</w:t>
      </w:r>
      <w:r w:rsidRPr="00234AE8">
        <w:rPr>
          <w:rFonts w:eastAsia="Cambria" w:cs="Times New Roman"/>
          <w:sz w:val="16"/>
        </w:rPr>
        <w:t xml:space="preserve">.”37 This sentiment animates the crucial Lacanian claim for the impossibility of the other giving a gift that it does not have, namely the gift of love: “all demand implies . . . a request for love. . . </w:t>
      </w:r>
      <w:r w:rsidRPr="00234AE8">
        <w:rPr>
          <w:rFonts w:eastAsia="Cambria" w:cs="Times New Roman"/>
          <w:sz w:val="24"/>
          <w:u w:val="single"/>
        </w:rPr>
        <w:t>. Desire begins to take shape in the margin in which demand becomes separated from need: this margin being that which is opened up by demand, the appeal of which can be unconditional only in regards to the other . . . having no universal satisfaction. . . . it is this whim that introduces the phantom of omnipotence, not of the subject, but of the other in which his demand is installed.”</w:t>
      </w:r>
      <w:r w:rsidRPr="00234AE8">
        <w:rPr>
          <w:rFonts w:eastAsia="Cambria" w:cs="Times New Roman"/>
          <w:sz w:val="16"/>
        </w:rPr>
        <w:t xml:space="preserve">38 This framing of demand reverses the classically liberal presupposition regarding demand and agency. Contemporary and classical liberal democratic theories presume that the demand is a way of exerting agency and, further, that the more firmly the demand is lodged, the greater the production of an agential effect. </w:t>
      </w:r>
      <w:r w:rsidRPr="00234AE8">
        <w:rPr>
          <w:rFonts w:eastAsia="Cambria" w:cs="Times New Roman"/>
          <w:sz w:val="24"/>
          <w:u w:val="single"/>
        </w:rPr>
        <w:t xml:space="preserve">The Lacanian framing of the demand sees the relationship as exactly the opposite: </w:t>
      </w:r>
      <w:r w:rsidRPr="00234AE8">
        <w:rPr>
          <w:rFonts w:eastAsia="Cambria" w:cs="Times New Roman"/>
          <w:sz w:val="24"/>
          <w:highlight w:val="cyan"/>
          <w:u w:val="single"/>
        </w:rPr>
        <w:t>the more firmly one lodges a demand, the more desperately one clings to the legitimate ability of an institution to fulfill it.</w:t>
      </w:r>
      <w:r w:rsidRPr="00234AE8">
        <w:rPr>
          <w:rFonts w:eastAsia="Cambria" w:cs="Times New Roman"/>
          <w:sz w:val="16"/>
        </w:rPr>
        <w:t xml:space="preserve"> Hypothetically, demands ought reach a kind of breaking point where the inability of an institution or order to proffer a response should produce a reevaluation of the economy of demand and desire. </w:t>
      </w:r>
      <w:r w:rsidRPr="00234AE8">
        <w:rPr>
          <w:rFonts w:eastAsia="Cambria" w:cs="Times New Roman"/>
          <w:sz w:val="24"/>
          <w:highlight w:val="cyan"/>
          <w:u w:val="single"/>
        </w:rPr>
        <w:t>In analytic terms, this is the moment of subtraction,</w:t>
      </w:r>
      <w:r w:rsidRPr="00234AE8">
        <w:rPr>
          <w:rFonts w:eastAsia="Cambria" w:cs="Times New Roman"/>
          <w:sz w:val="24"/>
          <w:u w:val="single"/>
        </w:rPr>
        <w:t xml:space="preserve"> where the manifest content of the demand is stripped away and the desire that underwrites it is laid bare. The result of this “subtraction” is that </w:t>
      </w:r>
      <w:r w:rsidRPr="00234AE8">
        <w:rPr>
          <w:rFonts w:eastAsia="Cambria" w:cs="Times New Roman"/>
          <w:sz w:val="24"/>
          <w:highlight w:val="cyan"/>
          <w:u w:val="single"/>
        </w:rPr>
        <w:t>the subject is in a position to relate to its desire</w:t>
      </w:r>
      <w:r w:rsidRPr="00234AE8">
        <w:rPr>
          <w:rFonts w:eastAsia="Cambria" w:cs="Times New Roman"/>
          <w:sz w:val="24"/>
          <w:u w:val="single"/>
        </w:rPr>
        <w:t xml:space="preserve">, not as a set of deferrals, avoidances, or transposition but rather </w:t>
      </w:r>
      <w:r w:rsidRPr="00234AE8">
        <w:rPr>
          <w:rFonts w:eastAsia="Cambria" w:cs="Times New Roman"/>
          <w:sz w:val="24"/>
          <w:highlight w:val="cyan"/>
          <w:u w:val="single"/>
        </w:rPr>
        <w:t>as an owned political disposition</w:t>
      </w:r>
      <w:r w:rsidRPr="00234AE8">
        <w:rPr>
          <w:rFonts w:eastAsia="Cambria" w:cs="Times New Roman"/>
          <w:sz w:val="16"/>
        </w:rPr>
        <w:t xml:space="preserve">. As Lacan frames it, demanding subjects are either learning to reassert the centrality of their demand or coming to terms with the impotence of the Other as a satisfier of demands: “But it is </w:t>
      </w:r>
      <w:r w:rsidRPr="00234AE8">
        <w:rPr>
          <w:rFonts w:eastAsia="Cambria" w:cs="Times New Roman"/>
          <w:sz w:val="24"/>
          <w:u w:val="single"/>
        </w:rPr>
        <w:t>in the dialectic of the demand for love and the test of desire that development is ordered</w:t>
      </w:r>
      <w:r w:rsidRPr="00234AE8">
        <w:rPr>
          <w:rFonts w:eastAsia="Cambria" w:cs="Times New Roman"/>
          <w:sz w:val="16"/>
        </w:rPr>
        <w:t xml:space="preserve">. . . . [T]his test of the desire of the Other is decisive not in the sense that the subject learns by it whether or not he has a phallus, but in the sense that he learns that the mother does not have it.”39 </w:t>
      </w:r>
      <w:r w:rsidRPr="00234AE8">
        <w:rPr>
          <w:rFonts w:eastAsia="Cambria" w:cs="Times New Roman"/>
          <w:sz w:val="24"/>
          <w:u w:val="single"/>
        </w:rPr>
        <w:t xml:space="preserve">The point of this </w:t>
      </w:r>
      <w:r w:rsidRPr="00234AE8">
        <w:rPr>
          <w:rFonts w:eastAsia="Cambria" w:cs="Times New Roman"/>
          <w:sz w:val="24"/>
          <w:highlight w:val="cyan"/>
          <w:u w:val="single"/>
        </w:rPr>
        <w:t xml:space="preserve">disposition is to bring the subject to a point where they might </w:t>
      </w:r>
      <w:r w:rsidRPr="00234AE8">
        <w:rPr>
          <w:rFonts w:eastAsia="Calibri" w:cs="Times New Roman"/>
        </w:rPr>
        <w:t>“recognize and name”</w:t>
      </w:r>
      <w:r w:rsidRPr="00234AE8">
        <w:rPr>
          <w:rFonts w:eastAsia="Cambria" w:cs="Times New Roman"/>
          <w:sz w:val="24"/>
          <w:highlight w:val="cyan"/>
          <w:u w:val="single"/>
        </w:rPr>
        <w:t xml:space="preserve"> their own desire and</w:t>
      </w:r>
      <w:r w:rsidRPr="00234AE8">
        <w:rPr>
          <w:rFonts w:eastAsia="Cambria" w:cs="Times New Roman"/>
          <w:sz w:val="24"/>
          <w:u w:val="single"/>
        </w:rPr>
        <w:t xml:space="preserve">, as a result, </w:t>
      </w:r>
      <w:r w:rsidRPr="00234AE8">
        <w:rPr>
          <w:rFonts w:eastAsia="Cambria" w:cs="Times New Roman"/>
          <w:sz w:val="24"/>
          <w:highlight w:val="cyan"/>
          <w:u w:val="single"/>
        </w:rPr>
        <w:t xml:space="preserve">become a political subject in the sense of being able to truly argue for something without being dependent on the other </w:t>
      </w:r>
    </w:p>
    <w:p w:rsidR="00405A57" w:rsidRPr="00405A57" w:rsidRDefault="00405A57" w:rsidP="00405A57"/>
    <w:sectPr w:rsidR="00405A57" w:rsidRPr="00405A57"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2"/>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05A57"/>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5A57"/>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86281"/>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4103D"/>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1E24"/>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4BDC"/>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5196"/>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25B5E"/>
    <w:rsid w:val="00C3164F"/>
    <w:rsid w:val="00C31B5E"/>
    <w:rsid w:val="00C34D3E"/>
    <w:rsid w:val="00C35B37"/>
    <w:rsid w:val="00C3747A"/>
    <w:rsid w:val="00C37F29"/>
    <w:rsid w:val="00C56DCC"/>
    <w:rsid w:val="00C57075"/>
    <w:rsid w:val="00C72AFE"/>
    <w:rsid w:val="00C81619"/>
    <w:rsid w:val="00C91066"/>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C7349"/>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52F97E30-A36C-FB4C-8F6F-99686D0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405A57"/>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405A5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05A5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05A5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405A5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05A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5A57"/>
  </w:style>
  <w:style w:type="character" w:customStyle="1" w:styleId="Heading1Char">
    <w:name w:val="Heading 1 Char"/>
    <w:aliases w:val="Pocket Char"/>
    <w:basedOn w:val="DefaultParagraphFont"/>
    <w:link w:val="Heading1"/>
    <w:uiPriority w:val="9"/>
    <w:rsid w:val="00405A57"/>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405A57"/>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405A57"/>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405A57"/>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405A57"/>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405A57"/>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405A57"/>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405A57"/>
    <w:rPr>
      <w:color w:val="auto"/>
      <w:u w:val="none"/>
    </w:rPr>
  </w:style>
  <w:style w:type="character" w:styleId="Hyperlink">
    <w:name w:val="Hyperlink"/>
    <w:basedOn w:val="DefaultParagraphFont"/>
    <w:uiPriority w:val="99"/>
    <w:unhideWhenUsed/>
    <w:rsid w:val="00405A57"/>
    <w:rPr>
      <w:color w:val="auto"/>
      <w:u w:val="none"/>
    </w:rPr>
  </w:style>
  <w:style w:type="paragraph" w:styleId="DocumentMap">
    <w:name w:val="Document Map"/>
    <w:basedOn w:val="Normal"/>
    <w:link w:val="DocumentMapChar"/>
    <w:uiPriority w:val="99"/>
    <w:semiHidden/>
    <w:unhideWhenUsed/>
    <w:rsid w:val="00405A5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05A57"/>
    <w:rPr>
      <w:rFonts w:ascii="Lucida Grande" w:hAnsi="Lucida Grande" w:cs="Lucida Grande"/>
    </w:rPr>
  </w:style>
  <w:style w:type="paragraph" w:customStyle="1" w:styleId="textbold">
    <w:name w:val="text bold"/>
    <w:basedOn w:val="Normal"/>
    <w:link w:val="Emphasis"/>
    <w:uiPriority w:val="20"/>
    <w:qFormat/>
    <w:rsid w:val="00405A57"/>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F78C31E2-B85E-3748-8C3E-506583E9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30</TotalTime>
  <Pages>1</Pages>
  <Words>7057</Words>
  <Characters>40227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47190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5</cp:revision>
  <dcterms:created xsi:type="dcterms:W3CDTF">2018-11-03T14:46:00Z</dcterms:created>
  <dcterms:modified xsi:type="dcterms:W3CDTF">2018-11-03T15:37:00Z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