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D2A" w:rsidRPr="00B277B7" w:rsidRDefault="004F4D2A" w:rsidP="004F4D2A">
      <w:pPr>
        <w:pStyle w:val="Heading4"/>
        <w:rPr>
          <w:highlight w:val="cyan"/>
        </w:rPr>
      </w:pPr>
      <w:r w:rsidRPr="00C17CA9">
        <w:t xml:space="preserve">The 1acs focus on </w:t>
      </w:r>
      <w:r w:rsidRPr="005C4A07">
        <w:rPr>
          <w:i/>
        </w:rPr>
        <w:t>epistemic performativity</w:t>
      </w:r>
      <w:r w:rsidRPr="00C17CA9">
        <w:t xml:space="preserve"> erases the material conditions of disability </w:t>
      </w:r>
    </w:p>
    <w:p w:rsidR="004F4D2A" w:rsidRPr="000572D4" w:rsidRDefault="004F4D2A" w:rsidP="004F4D2A">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4F4D2A" w:rsidRDefault="004F4D2A" w:rsidP="004F4D2A">
      <w:pPr>
        <w:rPr>
          <w:rFonts w:asciiTheme="majorHAnsi" w:hAnsiTheme="majorHAnsi" w:cstheme="majorHAnsi"/>
          <w:sz w:val="14"/>
        </w:rPr>
      </w:pPr>
      <w:r w:rsidRPr="00B277B7">
        <w:rPr>
          <w:rFonts w:asciiTheme="majorHAnsi" w:hAnsiTheme="majorHAnsi" w:cstheme="majorHAnsi"/>
          <w:b/>
          <w:highlight w:val="cyan"/>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B277B7">
        <w:rPr>
          <w:rFonts w:asciiTheme="majorHAnsi" w:hAnsiTheme="majorHAnsi" w:cstheme="majorHAnsi"/>
          <w:b/>
          <w:highlight w:val="cyan"/>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B277B7">
        <w:rPr>
          <w:rFonts w:asciiTheme="majorHAnsi" w:hAnsiTheme="majorHAnsi" w:cstheme="majorHAnsi"/>
          <w:b/>
          <w:highlight w:val="cyan"/>
          <w:u w:val="single"/>
        </w:rPr>
        <w:t>it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is tempting to see disability </w:t>
      </w:r>
      <w:r w:rsidRPr="000572D4">
        <w:rPr>
          <w:rFonts w:asciiTheme="majorHAnsi" w:hAnsiTheme="majorHAnsi" w:cstheme="majorHAnsi"/>
          <w:b/>
          <w:u w:val="single"/>
        </w:rPr>
        <w:t xml:space="preserve">exclusively </w:t>
      </w:r>
      <w:r w:rsidRPr="00B277B7">
        <w:rPr>
          <w:rFonts w:asciiTheme="majorHAnsi" w:hAnsiTheme="majorHAnsi" w:cstheme="majorHAnsi"/>
          <w:b/>
          <w:highlight w:val="cyan"/>
          <w:u w:val="single"/>
        </w:rPr>
        <w:t>as the product of a bad match between society and</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some</w:t>
      </w:r>
      <w:r w:rsidRPr="000572D4">
        <w:rPr>
          <w:rFonts w:asciiTheme="majorHAnsi" w:hAnsiTheme="majorHAnsi" w:cstheme="majorHAnsi"/>
          <w:b/>
          <w:u w:val="single"/>
        </w:rPr>
        <w:t xml:space="preserve"> human </w:t>
      </w:r>
      <w:r w:rsidRPr="00B277B7">
        <w:rPr>
          <w:rFonts w:asciiTheme="majorHAnsi" w:hAnsiTheme="majorHAnsi" w:cstheme="majorHAnsi"/>
          <w:b/>
          <w:highlight w:val="cyan"/>
          <w:u w:val="single"/>
        </w:rPr>
        <w:t>bodies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because it is </w:t>
      </w:r>
      <w:r w:rsidRPr="000572D4">
        <w:rPr>
          <w:rFonts w:asciiTheme="majorHAnsi" w:hAnsiTheme="majorHAnsi" w:cstheme="majorHAnsi"/>
          <w:b/>
          <w:u w:val="single"/>
        </w:rPr>
        <w:t xml:space="preserve">so </w:t>
      </w:r>
      <w:r w:rsidRPr="00B277B7">
        <w:rPr>
          <w:rFonts w:asciiTheme="majorHAnsi" w:hAnsiTheme="majorHAnsi" w:cstheme="majorHAnsi"/>
          <w:b/>
          <w:highlight w:val="cyan"/>
          <w:u w:val="single"/>
        </w:rPr>
        <w:t>often the case</w:t>
      </w:r>
      <w:r w:rsidRPr="000572D4">
        <w:rPr>
          <w:rFonts w:asciiTheme="majorHAnsi" w:hAnsiTheme="majorHAnsi" w:cstheme="majorHAnsi"/>
          <w:b/>
          <w:u w:val="single"/>
        </w:rPr>
        <w:t xml:space="preserve">. But </w:t>
      </w:r>
      <w:r w:rsidRPr="00B277B7">
        <w:rPr>
          <w:rFonts w:asciiTheme="majorHAnsi" w:hAnsiTheme="majorHAnsi" w:cstheme="majorHAnsi"/>
          <w:b/>
          <w:highlight w:val="cyan"/>
          <w:u w:val="single"/>
        </w:rPr>
        <w:t xml:space="preserve">disability </w:t>
      </w:r>
      <w:r w:rsidRPr="00E36001">
        <w:rPr>
          <w:rFonts w:asciiTheme="majorHAnsi" w:hAnsiTheme="majorHAnsi" w:cstheme="majorHAnsi"/>
          <w:b/>
          <w:u w:val="single"/>
        </w:rPr>
        <w:t xml:space="preserve">also </w:t>
      </w:r>
      <w:r w:rsidRPr="00B277B7">
        <w:rPr>
          <w:rFonts w:asciiTheme="majorHAnsi" w:hAnsiTheme="majorHAnsi" w:cstheme="majorHAnsi"/>
          <w:b/>
          <w:highlight w:val="cyan"/>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B277B7">
        <w:rPr>
          <w:rFonts w:asciiTheme="majorHAnsi" w:hAnsiTheme="majorHAnsi" w:cstheme="majorHAnsi"/>
          <w:b/>
          <w:highlight w:val="cyan"/>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B277B7">
        <w:rPr>
          <w:rFonts w:asciiTheme="majorHAnsi" w:hAnsiTheme="majorHAnsi" w:cstheme="majorHAnsi"/>
          <w:b/>
          <w:highlight w:val="cyan"/>
          <w:u w:val="single"/>
        </w:rPr>
        <w:t xml:space="preserve">avoring performativity to corporeality, </w:t>
      </w:r>
      <w:r w:rsidRPr="003A1B09">
        <w:rPr>
          <w:rFonts w:asciiTheme="majorHAnsi" w:hAnsiTheme="majorHAnsi" w:cstheme="majorHAnsi"/>
          <w:b/>
          <w:u w:val="single"/>
        </w:rPr>
        <w:t>and describing social success in terms of intellectual achievement, bodily adaptability</w:t>
      </w:r>
      <w:r w:rsidRPr="00B277B7">
        <w:rPr>
          <w:rFonts w:asciiTheme="majorHAnsi" w:hAnsiTheme="majorHAnsi" w:cstheme="majorHAnsi"/>
          <w:b/>
          <w:highlight w:val="cyan"/>
          <w:u w:val="single"/>
        </w:rPr>
        <w:t>,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B277B7">
        <w:rPr>
          <w:rFonts w:asciiTheme="majorHAnsi" w:hAnsiTheme="majorHAnsi" w:cstheme="majorHAnsi"/>
          <w:b/>
          <w:highlight w:val="cyan"/>
          <w:u w:val="single"/>
        </w:rPr>
        <w:t>the push to link physical difference to cultural</w:t>
      </w:r>
      <w:r w:rsidRPr="000572D4">
        <w:rPr>
          <w:rFonts w:asciiTheme="majorHAnsi" w:hAnsiTheme="majorHAnsi" w:cstheme="majorHAnsi"/>
          <w:b/>
          <w:u w:val="single"/>
        </w:rPr>
        <w:t xml:space="preserve"> and social </w:t>
      </w:r>
      <w:r w:rsidRPr="00B277B7">
        <w:rPr>
          <w:rFonts w:asciiTheme="majorHAnsi" w:hAnsiTheme="majorHAnsi" w:cstheme="majorHAnsi"/>
          <w:b/>
          <w:highlight w:val="cyan"/>
          <w:u w:val="single"/>
        </w:rPr>
        <w:t>constructs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especially ideological ones,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has</w:t>
      </w:r>
      <w:r w:rsidRPr="000572D4">
        <w:rPr>
          <w:rFonts w:asciiTheme="majorHAnsi" w:hAnsiTheme="majorHAnsi" w:cstheme="majorHAnsi"/>
          <w:b/>
          <w:u w:val="single"/>
        </w:rPr>
        <w:t xml:space="preserve"> actually </w:t>
      </w:r>
      <w:r w:rsidRPr="00B277B7">
        <w:rPr>
          <w:rFonts w:asciiTheme="majorHAnsi" w:hAnsiTheme="majorHAnsi" w:cstheme="majorHAnsi"/>
          <w:b/>
          <w:highlight w:val="cyan"/>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542D42">
        <w:rPr>
          <w:rFonts w:asciiTheme="majorHAnsi" w:hAnsiTheme="majorHAnsi" w:cstheme="majorHAnsi"/>
          <w:b/>
          <w:u w:val="single"/>
        </w:rPr>
        <w:t>cultural theory abounds with “the fluids of sexuality, the gloss of lubrication, the glossary of the body as text,</w:t>
      </w:r>
      <w:r w:rsidRPr="00542D42">
        <w:rPr>
          <w:rFonts w:asciiTheme="majorHAnsi" w:hAnsiTheme="majorHAnsi" w:cstheme="majorHAnsi"/>
          <w:sz w:val="14"/>
        </w:rPr>
        <w:t xml:space="preserve"> the heteroglossia of the intertext, the glossolalia of the schizophrenic. </w:t>
      </w:r>
      <w:r w:rsidRPr="00542D42">
        <w:rPr>
          <w:rFonts w:asciiTheme="majorHAnsi" w:hAnsiTheme="majorHAnsi" w:cstheme="majorHAnsi"/>
          <w:b/>
          <w:u w:val="single"/>
        </w:rPr>
        <w:t>But almost never the body of the differently abled.”</w:t>
      </w:r>
      <w:r w:rsidRPr="000572D4">
        <w:rPr>
          <w:rFonts w:asciiTheme="majorHAnsi" w:hAnsiTheme="majorHAnsi" w:cstheme="majorHAnsi"/>
          <w:b/>
          <w:u w:val="single"/>
        </w:rPr>
        <w:t xml:space="preserve">5 </w:t>
      </w:r>
      <w:r w:rsidRPr="00B277B7">
        <w:rPr>
          <w:rFonts w:asciiTheme="majorHAnsi" w:hAnsiTheme="majorHAnsi" w:cstheme="majorHAnsi"/>
          <w:b/>
          <w:highlight w:val="cyan"/>
          <w:u w:val="single"/>
        </w:rPr>
        <w:t xml:space="preserve">Recent theoretical emphases on “performativity,” </w:t>
      </w:r>
      <w:r w:rsidRPr="000572D4">
        <w:rPr>
          <w:rFonts w:asciiTheme="majorHAnsi" w:hAnsiTheme="majorHAnsi" w:cstheme="majorHAnsi"/>
          <w:b/>
          <w:u w:val="single"/>
        </w:rPr>
        <w:t>“heterogeneity,” and “indeterminancy”</w:t>
      </w:r>
      <w:r w:rsidRPr="00B277B7">
        <w:rPr>
          <w:rFonts w:asciiTheme="majorHAnsi" w:hAnsiTheme="majorHAnsi" w:cstheme="majorHAnsi"/>
          <w:b/>
          <w:highlight w:val="cyan"/>
          <w:u w:val="single"/>
        </w:rPr>
        <w:t xml:space="preserve"> privilege a disembodied ideal of freedom, suggesting that emancipation from social codes and norms may be achieved by imagining the body as a subversive text.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These emphases are not only incompatible with the experiences of people with disabilities;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they mimic the fantasy</w:t>
      </w:r>
      <w:r w:rsidRPr="000572D4">
        <w:rPr>
          <w:rFonts w:asciiTheme="majorHAnsi" w:hAnsiTheme="majorHAnsi" w:cstheme="majorHAnsi"/>
          <w:b/>
          <w:u w:val="single"/>
        </w:rPr>
        <w:t xml:space="preserve">, often </w:t>
      </w:r>
      <w:r w:rsidRPr="00B277B7">
        <w:rPr>
          <w:rFonts w:asciiTheme="majorHAnsi" w:hAnsiTheme="majorHAnsi" w:cstheme="majorHAnsi"/>
          <w:b/>
          <w:highlight w:val="cyan"/>
          <w:u w:val="single"/>
        </w:rPr>
        <w:t>found in the medical model, that</w:t>
      </w:r>
      <w:r w:rsidRPr="000572D4">
        <w:rPr>
          <w:rFonts w:asciiTheme="majorHAnsi" w:hAnsiTheme="majorHAnsi" w:cstheme="majorHAnsi"/>
          <w:b/>
          <w:u w:val="single"/>
        </w:rPr>
        <w:t xml:space="preserve"> disease and </w:t>
      </w:r>
      <w:r w:rsidRPr="00B277B7">
        <w:rPr>
          <w:rFonts w:asciiTheme="majorHAnsi" w:hAnsiTheme="majorHAnsi" w:cstheme="majorHAnsi"/>
          <w:b/>
          <w:highlight w:val="cyan"/>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B277B7">
        <w:rPr>
          <w:rFonts w:asciiTheme="majorHAnsi" w:hAnsiTheme="majorHAnsi" w:cstheme="majorHAnsi"/>
          <w:b/>
          <w:highlight w:val="cyan"/>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B277B7">
        <w:rPr>
          <w:rFonts w:asciiTheme="majorHAnsi" w:hAnsiTheme="majorHAnsi" w:cstheme="majorHAnsi"/>
          <w:b/>
          <w:highlight w:val="cyan"/>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p w:rsidR="001C5E47" w:rsidRDefault="001C5E47" w:rsidP="004F4D2A">
      <w:pPr>
        <w:rPr>
          <w:rFonts w:asciiTheme="majorHAnsi" w:hAnsiTheme="majorHAnsi" w:cstheme="majorHAnsi"/>
          <w:sz w:val="14"/>
        </w:rPr>
      </w:pPr>
      <w:r>
        <w:rPr>
          <w:rFonts w:asciiTheme="majorHAnsi" w:hAnsiTheme="majorHAnsi" w:cstheme="majorHAnsi"/>
          <w:sz w:val="14"/>
        </w:rPr>
        <w:t>“</w:t>
      </w:r>
      <w:r w:rsidRPr="001C5E47">
        <w:rPr>
          <w:rFonts w:asciiTheme="majorHAnsi" w:hAnsiTheme="majorHAnsi" w:cstheme="majorHAnsi"/>
          <w:sz w:val="14"/>
        </w:rPr>
        <w:t>Feminist consciousness to these issues is an act of displacement and estrangement</w:t>
      </w:r>
      <w:r>
        <w:rPr>
          <w:rFonts w:asciiTheme="majorHAnsi" w:hAnsiTheme="majorHAnsi" w:cstheme="majorHAnsi"/>
          <w:sz w:val="14"/>
        </w:rPr>
        <w:t xml:space="preserve">” </w:t>
      </w:r>
    </w:p>
    <w:p w:rsidR="004F4D2A" w:rsidRPr="00812D2C" w:rsidRDefault="004F4D2A" w:rsidP="004F4D2A">
      <w:pPr>
        <w:pStyle w:val="Heading4"/>
      </w:pPr>
      <w:r>
        <w:t xml:space="preserve">The 1ACs affective strategy of </w:t>
      </w:r>
      <w:r w:rsidR="00473CEF">
        <w:t>rage</w:t>
      </w:r>
      <w:r w:rsidRPr="005C0C22">
        <w:t xml:space="preserve"> </w:t>
      </w:r>
      <w:r>
        <w:t>is anti crip - t</w:t>
      </w:r>
      <w:r w:rsidRPr="00812D2C">
        <w:t xml:space="preserve">he appeal to an affective connection in excess of "rational" communication is exclusive </w:t>
      </w:r>
      <w:r w:rsidR="00473CEF">
        <w:t xml:space="preserve">and creates an immaterial affective labor economy. </w:t>
      </w:r>
    </w:p>
    <w:p w:rsidR="004F4D2A" w:rsidRDefault="004F4D2A" w:rsidP="004F4D2A">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p>
    <w:p w:rsidR="004F4D2A" w:rsidRDefault="004F4D2A" w:rsidP="004F4D2A">
      <w:r>
        <w:t xml:space="preserve">My talk investigates the means through which </w:t>
      </w:r>
      <w:r w:rsidRPr="00B277B7">
        <w:rPr>
          <w:rStyle w:val="Emphasis"/>
          <w:highlight w:val="cyan"/>
        </w:rPr>
        <w:t>disability is constituted by affective labour</w:t>
      </w:r>
      <w:r>
        <w:t xml:space="preserve"> and neoliberalism. Paralleling the shift from modernization to postmodernization of labor, the constitution of disability has likewise been changed. There are accordingly two questions that will structure my exploration: 1</w:t>
      </w:r>
      <w:r w:rsidRPr="00423E64">
        <w:rPr>
          <w:rStyle w:val="StyleUnderline"/>
        </w:rPr>
        <w:t>) how are disabled subjects marginalized within an information economy and 2) what kind of disabled subjectivity does informationalization produce?</w:t>
      </w:r>
      <w:r>
        <w:t xml:space="preserve"> This is largely a new area of inquiry for me and as such I welcome ideas of how to further these questions. To start off, allow me to rehearse a simple truism: capitalism produces competition. Simon Clarke notes that “</w:t>
      </w:r>
      <w:r w:rsidRPr="00B277B7">
        <w:rPr>
          <w:rStyle w:val="StyleUnderline"/>
          <w:highlight w:val="cyan"/>
        </w:rPr>
        <w:t>the intensiﬁcation of</w:t>
      </w:r>
      <w: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Pr>
          <w:rStyle w:val="StyleUnderline"/>
        </w:rPr>
        <w:t xml:space="preserve">, </w:t>
      </w:r>
      <w:r w:rsidRPr="009F12AD">
        <w:t xml:space="preserve">this </w:t>
      </w:r>
      <w:r w:rsidRPr="00B277B7">
        <w:rPr>
          <w:rStyle w:val="StyleUnderline"/>
          <w:highlight w:val="cyan"/>
        </w:rPr>
        <w:t>competition</w:t>
      </w:r>
      <w:r w:rsidRPr="00124C41">
        <w:rPr>
          <w:rStyle w:val="StyleUnderline"/>
        </w:rPr>
        <w:t xml:space="preserve"> notoriously </w:t>
      </w:r>
      <w:r w:rsidRPr="00B277B7">
        <w:rPr>
          <w:rStyle w:val="StyleUnderline"/>
          <w:highlight w:val="cyan"/>
        </w:rPr>
        <w:t>privileges the able</w:t>
      </w:r>
      <w:r w:rsidRPr="00124C41">
        <w:rPr>
          <w:rStyle w:val="StyleUnderline"/>
        </w:rPr>
        <w:t>-</w:t>
      </w:r>
      <w:r w:rsidRPr="00B277B7">
        <w:rPr>
          <w:rStyle w:val="StyleUnderline"/>
          <w:highlight w:val="cyan"/>
        </w:rPr>
        <w:t>bodie</w:t>
      </w:r>
      <w:r w:rsidRPr="00124C41">
        <w:rPr>
          <w:rStyle w:val="StyleUnderline"/>
        </w:rPr>
        <w:t xml:space="preserve">d </w:t>
      </w:r>
      <w:r w:rsidRPr="00B277B7">
        <w:rPr>
          <w:rStyle w:val="StyleUnderline"/>
          <w:highlight w:val="cyan"/>
        </w:rPr>
        <w:t>since those</w:t>
      </w:r>
      <w:r w:rsidRPr="00124C41">
        <w:rPr>
          <w:rStyle w:val="StyleUnderline"/>
        </w:rPr>
        <w:t xml:space="preserve"> bodies </w:t>
      </w:r>
      <w:r w:rsidRPr="00B277B7">
        <w:rPr>
          <w:rStyle w:val="Emphasis"/>
          <w:highlight w:val="cyan"/>
        </w:rPr>
        <w:t>which cannot move</w:t>
      </w:r>
      <w:r w:rsidRPr="00596197">
        <w:rPr>
          <w:rStyle w:val="Emphasis"/>
        </w:rPr>
        <w:t xml:space="preserve"> </w:t>
      </w:r>
      <w:r w:rsidRPr="00124C41">
        <w:rPr>
          <w:rStyle w:val="StyleUnderline"/>
        </w:rPr>
        <w:t xml:space="preserve">quickly or </w:t>
      </w:r>
      <w:r w:rsidRPr="00B277B7">
        <w:rPr>
          <w:rStyle w:val="StyleUnderline"/>
          <w:highlight w:val="cyan"/>
        </w:rPr>
        <w:t>efficiently</w:t>
      </w:r>
      <w:r w:rsidRPr="00124C41">
        <w:rPr>
          <w:rStyle w:val="StyleUnderline"/>
        </w:rPr>
        <w:t xml:space="preserve">, unable to meet the demands of labour intensification, </w:t>
      </w:r>
      <w:r w:rsidRPr="00B277B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r w:rsidRPr="00B277B7">
        <w:rPr>
          <w:rStyle w:val="StyleUnderline"/>
          <w:highlight w:val="cyan"/>
        </w:rPr>
        <w:t>asetheticization gains centre stage</w:t>
      </w:r>
      <w:r>
        <w:t>. Here</w:t>
      </w:r>
      <w:r>
        <w:rPr>
          <w:rStyle w:val="StyleUnderline"/>
        </w:rPr>
        <w:t>,</w:t>
      </w:r>
      <w:r w:rsidRPr="00B277B7">
        <w:rPr>
          <w:rStyle w:val="StyleUnderline"/>
          <w:highlight w:val="cyan"/>
        </w:rPr>
        <w:t>the performance of competencies is a necessary trait</w:t>
      </w:r>
      <w:r w:rsidRPr="00E90EA8">
        <w:rPr>
          <w:rStyle w:val="StyleUnderline"/>
        </w:rPr>
        <w:t xml:space="preserve"> since skill no longer determines competency; </w:t>
      </w:r>
      <w:r w:rsidRPr="00B277B7">
        <w:rPr>
          <w:rStyle w:val="StyleUnderline"/>
          <w:highlight w:val="cyan"/>
        </w:rPr>
        <w:t xml:space="preserve">what is </w:t>
      </w:r>
      <w:r w:rsidRPr="00596197">
        <w:rPr>
          <w:rStyle w:val="StyleUnderline"/>
        </w:rPr>
        <w:t xml:space="preserve">furteher </w:t>
      </w:r>
      <w:r w:rsidRPr="00B277B7">
        <w:rPr>
          <w:rStyle w:val="StyleUnderline"/>
          <w:highlight w:val="cyan"/>
        </w:rPr>
        <w:t>needed for full-participation</w:t>
      </w:r>
      <w:r w:rsidRPr="00596197">
        <w:rPr>
          <w:rStyle w:val="StyleUnderline"/>
        </w:rPr>
        <w:t xml:space="preserve"> in the socio-economic system </w:t>
      </w:r>
      <w:r w:rsidRPr="00B277B7">
        <w:rPr>
          <w:rStyle w:val="Emphasis"/>
          <w:highlight w:val="cyan"/>
        </w:rPr>
        <w:t xml:space="preserve">is to project the right sort of image as a marketable </w:t>
      </w:r>
      <w:r w:rsidRPr="00596197">
        <w:rPr>
          <w:rStyle w:val="Emphasis"/>
        </w:rPr>
        <w:t xml:space="preserve">and desirable </w:t>
      </w:r>
      <w:r w:rsidRPr="00B277B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The phenomenon of advertising and marketing the self trades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B277B7">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B277B7">
        <w:rPr>
          <w:rStyle w:val="Emphasis"/>
          <w:highlight w:val="cyan"/>
        </w:rPr>
        <w:t>allows</w:t>
      </w:r>
      <w:r w:rsidRPr="00935054">
        <w:rPr>
          <w:rStyle w:val="Emphasis"/>
        </w:rPr>
        <w:t xml:space="preserve"> all </w:t>
      </w:r>
      <w:r w:rsidRPr="00B277B7">
        <w:rPr>
          <w:rStyle w:val="Emphasis"/>
          <w:highlight w:val="cyan"/>
        </w:rPr>
        <w:t>disabled bodies to be exploited</w:t>
      </w:r>
      <w: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informationalized. Hardt argues that</w:t>
      </w:r>
      <w:r w:rsidRPr="0091797C">
        <w:rPr>
          <w:rStyle w:val="Emphasis"/>
        </w:rPr>
        <w:t xml:space="preserve"> within this economy, the quality and nature of labour has shifted from material—the production and selling of “stuff”—to immaterial labour—labour that produces immaterial goods.</w:t>
      </w:r>
      <w: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labour, </w:t>
      </w:r>
      <w:r w:rsidRPr="00935054">
        <w:rPr>
          <w:rStyle w:val="StyleUnderline"/>
        </w:rPr>
        <w:t xml:space="preserve">affective labour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immaterial labour are directly concerned with the exchange of information and knowledge</w:t>
      </w:r>
      <w:r w:rsidRPr="00935054">
        <w:t>;</w:t>
      </w:r>
      <w:r>
        <w:t xml:space="preserve"> </w:t>
      </w:r>
      <w:r w:rsidRPr="00B277B7">
        <w:rPr>
          <w:rStyle w:val="StyleUnderline"/>
          <w:highlight w:val="cyan"/>
        </w:rPr>
        <w:t>affective labour produces</w:t>
      </w:r>
      <w:r w:rsidRPr="00E90EA8">
        <w:rPr>
          <w:rStyle w:val="StyleUnderline"/>
        </w:rPr>
        <w:t xml:space="preserve"> affect</w:t>
      </w:r>
      <w:r>
        <w:t xml:space="preserve">: </w:t>
      </w:r>
      <w:r w:rsidRPr="00935054">
        <w:rPr>
          <w:rStyle w:val="StyleUnderline"/>
        </w:rPr>
        <w:t>“</w:t>
      </w:r>
      <w:r w:rsidRPr="00B277B7">
        <w:rPr>
          <w:rStyle w:val="StyleUnderline"/>
          <w:highlight w:val="cyan"/>
        </w:rPr>
        <w:t>a feeling of ease</w:t>
      </w:r>
      <w:r w:rsidRPr="00935054">
        <w:rPr>
          <w:rStyle w:val="StyleUnderline"/>
        </w:rPr>
        <w:t xml:space="preserve">, well-being, satisfaction, excitement, </w:t>
      </w:r>
      <w:r w:rsidRPr="00B277B7">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B277B7">
        <w:rPr>
          <w:rStyle w:val="StyleUnderline"/>
          <w:highlight w:val="cyan"/>
        </w:rPr>
        <w:t>community</w:t>
      </w:r>
      <w:r w:rsidRPr="008D3D72">
        <w:rPr>
          <w:rStyle w:val="StyleUnderline"/>
        </w:rPr>
        <w:t>”</w:t>
      </w:r>
      <w:r>
        <w:t xml:space="preserve"> (96). In the most obvious sense, </w:t>
      </w:r>
      <w:r w:rsidRPr="00E90EA8">
        <w:rPr>
          <w:rStyle w:val="StyleUnderline"/>
        </w:rPr>
        <w:t>affective labour describes the service industry</w:t>
      </w:r>
      <w: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B277B7">
        <w:rPr>
          <w:rStyle w:val="Emphasis"/>
          <w:highlight w:val="cyan"/>
        </w:rPr>
        <w:t xml:space="preserve">The creation </w:t>
      </w:r>
      <w:r w:rsidRPr="00161C41">
        <w:rPr>
          <w:rStyle w:val="Emphasis"/>
        </w:rPr>
        <w:t xml:space="preserve">and manipulation </w:t>
      </w:r>
      <w:r w:rsidRPr="00B277B7">
        <w:rPr>
          <w:rStyle w:val="Emphasis"/>
          <w:highlight w:val="cyan"/>
        </w:rPr>
        <w:t>of affect is central</w:t>
      </w:r>
      <w:r w:rsidRPr="00B277B7">
        <w:rPr>
          <w:rStyle w:val="StyleUnderline"/>
          <w:highlight w:val="cyan"/>
        </w:rPr>
        <w:t>. Affective labour collides economy and culture, insofar as “production has become communicative, affective, de-instrumentalized, and ‘elevated’ to the level of human relations</w:t>
      </w:r>
      <w:r>
        <w:t xml:space="preserve">” (96). </w:t>
      </w:r>
      <w:r w:rsidRPr="00935054">
        <w:rPr>
          <w:rStyle w:val="StyleUnderline"/>
        </w:rPr>
        <w:t>Through</w:t>
      </w:r>
      <w:r w:rsidRPr="00935054">
        <w:t xml:space="preserve"> </w:t>
      </w:r>
      <w:r w:rsidRPr="00935054">
        <w:rPr>
          <w:rStyle w:val="StyleUnderline"/>
        </w:rPr>
        <w:t>affective labour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B277B7">
        <w:rPr>
          <w:rStyle w:val="Emphasis"/>
          <w:highlight w:val="cyan"/>
        </w:rPr>
        <w:t>those with communicative disabilities distort and put stress on the mechanisms of production and are therefore disadvantaged in highly competitive markets</w:t>
      </w:r>
      <w: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B277B7">
        <w:rPr>
          <w:rStyle w:val="StyleUnderline"/>
          <w:highlight w:val="cyan"/>
        </w:rPr>
        <w:t>Those who are disabled communicatively are</w:t>
      </w:r>
      <w:r w:rsidRPr="00E90EA8">
        <w:rPr>
          <w:rStyle w:val="StyleUnderline"/>
        </w:rPr>
        <w:t xml:space="preserve"> further </w:t>
      </w:r>
      <w:r w:rsidRPr="00B277B7">
        <w:rPr>
          <w:rStyle w:val="StyleUnderline"/>
          <w:highlight w:val="cyan"/>
        </w:rPr>
        <w:t>marginalized</w:t>
      </w:r>
      <w:r w:rsidRPr="00E90EA8">
        <w:rPr>
          <w:rStyle w:val="StyleUnderline"/>
        </w:rPr>
        <w:t xml:space="preserve"> insofar </w:t>
      </w:r>
      <w:r w:rsidRPr="00935054">
        <w:rPr>
          <w:rStyle w:val="StyleUnderline"/>
        </w:rPr>
        <w:t xml:space="preserve">as </w:t>
      </w:r>
      <w:r w:rsidRPr="00B277B7">
        <w:rPr>
          <w:rStyle w:val="StyleUnderline"/>
          <w:highlight w:val="cyan"/>
        </w:rPr>
        <w:t xml:space="preserve">affective labour </w:t>
      </w:r>
      <w:r w:rsidRPr="00935054">
        <w:rPr>
          <w:rStyle w:val="StyleUnderline"/>
        </w:rPr>
        <w:t xml:space="preserve">is particularly </w:t>
      </w:r>
      <w:r w:rsidRPr="00B277B7">
        <w:rPr>
          <w:rStyle w:val="StyleUnderline"/>
          <w:highlight w:val="cyan"/>
        </w:rPr>
        <w:t>concerned with producing marketable affects</w:t>
      </w:r>
      <w:r w:rsidRPr="00E90EA8">
        <w:rPr>
          <w:rStyle w:val="StyleUnderline"/>
        </w:rPr>
        <w:t>. This has led to the aestheticization of socio-economic space. The common fear, anxiety, and discomfort experienced in the presence of disability—the disruption of the perceptual field—is now internal to the production of capital</w:t>
      </w:r>
      <w:r>
        <w:t>. The marketable product of affective labour depends upon aesthetically normalized human contact, communication, and projection of ability and the self</w:t>
      </w:r>
      <w:r w:rsidRPr="00E90EA8">
        <w:rPr>
          <w:rStyle w:val="StyleUnderline"/>
        </w:rPr>
        <w:t xml:space="preserve">. </w:t>
      </w:r>
      <w:r w:rsidRPr="00B277B7">
        <w:rPr>
          <w:rStyle w:val="StyleUnderline"/>
          <w:highlight w:val="cyan"/>
        </w:rPr>
        <w:t>The drive to advertise ourselves</w:t>
      </w:r>
      <w:r w:rsidRPr="00E90EA8">
        <w:rPr>
          <w:rStyle w:val="StyleUnderline"/>
        </w:rPr>
        <w:t xml:space="preserve"> troubles the borders of ‘disability’ and </w:t>
      </w:r>
      <w:r w:rsidRPr="00B277B7">
        <w:rPr>
          <w:rStyle w:val="StyleUnderline"/>
          <w:highlight w:val="cyan"/>
        </w:rPr>
        <w:t>oppresses those who</w:t>
      </w:r>
      <w:r w:rsidRPr="00E90EA8">
        <w:rPr>
          <w:rStyle w:val="StyleUnderline"/>
        </w:rPr>
        <w:t xml:space="preserve">, for example, </w:t>
      </w:r>
      <w:r w:rsidRPr="00B277B7">
        <w:rPr>
          <w:rStyle w:val="StyleUnderline"/>
          <w:highlight w:val="cyan"/>
        </w:rPr>
        <w:t>stutter</w:t>
      </w:r>
      <w:r w:rsidRPr="00A91DBC">
        <w:t xml:space="preserve">, </w:t>
      </w:r>
      <w:r w:rsidRPr="00812D2C">
        <w:rPr>
          <w:rStyle w:val="StyleUnderline"/>
        </w:rPr>
        <w:t>far beyond what was experienced</w:t>
      </w:r>
      <w:r w:rsidRPr="00E90EA8">
        <w:rPr>
          <w:rStyle w:val="StyleUnderline"/>
        </w:rPr>
        <w:t xml:space="preserve"> in industrialized capitalism</w:t>
      </w:r>
      <w: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You’ll never get a job in advertising until you learn to talk</w:t>
      </w:r>
      <w:r>
        <w:t xml:space="preserve">.” Jezer’s marginalization is twofold: in the first place, he is marginalized by disrupting information flow since according to post-modernization, the entirety of journalism is structured by informationalization. Yet secondly, </w:t>
      </w:r>
      <w:r w:rsidRPr="00B277B7">
        <w:rPr>
          <w:rStyle w:val="Emphasis"/>
          <w:highlight w:val="cyan"/>
        </w:rPr>
        <w:t>the drive to perform competencies in a normalized fashion runs roughshod over bodies affectively abnormal</w:t>
      </w:r>
      <w:r w:rsidRPr="00812D2C">
        <w:t>.</w:t>
      </w:r>
      <w:r>
        <w:t xml:space="preserve"> Jezer’s marginization is inseperable from the asethetics of human interaction and the production of marketable affect. </w:t>
      </w:r>
      <w:r w:rsidRPr="00F06477">
        <w:rPr>
          <w:rStyle w:val="Emphasis"/>
        </w:rPr>
        <w:t xml:space="preserve">While people with explicit communicative disabilities are the most obvious examples of those sidelined within an informational economy, </w:t>
      </w:r>
      <w:r w:rsidRPr="00B277B7">
        <w:rPr>
          <w:rStyle w:val="Emphasis"/>
          <w:highlight w:val="cyan"/>
        </w:rPr>
        <w:t>all disabilities are reconfigured by neoliberalism and affective labour</w:t>
      </w:r>
      <w:r w:rsidRPr="00F06477">
        <w:rPr>
          <w:rStyle w:val="Emphasis"/>
        </w:rPr>
        <w:t>.</w:t>
      </w:r>
      <w: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4F4D2A" w:rsidRPr="00473CEF" w:rsidRDefault="00473CEF" w:rsidP="00473CEF">
      <w:r>
        <w:t>“</w:t>
      </w:r>
      <w:r w:rsidR="004F4D2A" w:rsidRPr="00473CEF">
        <w:t>The role of the ballot is to vote for the debater that best PERFORMATIVELY and METHODOLOGICALLY interrogates patriarchal structures.</w:t>
      </w:r>
      <w:r>
        <w:t>”</w:t>
      </w:r>
    </w:p>
    <w:p w:rsidR="004F4D2A" w:rsidRPr="00D801D8" w:rsidRDefault="004F4D2A" w:rsidP="004F4D2A">
      <w:pPr>
        <w:pStyle w:val="Heading4"/>
      </w:pPr>
      <w:r w:rsidRPr="00D801D8">
        <w:t>The impact is internalized ableism and psychological violence</w:t>
      </w:r>
    </w:p>
    <w:p w:rsidR="004F4D2A" w:rsidRDefault="004F4D2A" w:rsidP="004F4D2A">
      <w:pPr>
        <w:rPr>
          <w:sz w:val="16"/>
        </w:rPr>
      </w:pPr>
      <w:r w:rsidRPr="00D801D8">
        <w:rPr>
          <w:rStyle w:val="Style13ptBold"/>
        </w:rPr>
        <w:t>Campbell 08</w:t>
      </w:r>
      <w:r w:rsidRPr="00D801D8">
        <w:rPr>
          <w:sz w:val="16"/>
        </w:rPr>
        <w:t xml:space="preserve"> (Fiona Kumari Campbell, disability author and professor at Griffith University, "Exploring internalized ableism using critical race theory" Disability and Society, Vol. 23, No. 2, March 2008, 151–162</w:t>
      </w:r>
      <w:r>
        <w:rPr>
          <w:sz w:val="16"/>
        </w:rPr>
        <w:t>)</w:t>
      </w:r>
    </w:p>
    <w:p w:rsidR="004F4D2A" w:rsidRPr="00E6734A" w:rsidRDefault="004F4D2A" w:rsidP="004F4D2A">
      <w:pPr>
        <w:rPr>
          <w:sz w:val="16"/>
        </w:rPr>
      </w:pPr>
      <w:r w:rsidRPr="00061F6E">
        <w:rPr>
          <w:sz w:val="16"/>
        </w:rPr>
        <w:t xml:space="preserve">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w:t>
      </w:r>
      <w:r w:rsidRPr="00B277B7">
        <w:rPr>
          <w:rStyle w:val="StyleUnderline"/>
          <w:highlight w:val="cyan"/>
        </w:rPr>
        <w:t>the processes of subject formation cannot be separated from the subject</w:t>
      </w:r>
      <w:r w:rsidRPr="00061F6E">
        <w:rPr>
          <w:sz w:val="16"/>
        </w:rPr>
        <w:t xml:space="preserve"> him/herself who </w:t>
      </w:r>
      <w:r w:rsidRPr="00B277B7">
        <w:rPr>
          <w:rStyle w:val="StyleUnderline"/>
          <w:highlight w:val="cyan"/>
        </w:rPr>
        <w:t>is brought into being though those very subjectifying processes</w:t>
      </w:r>
      <w:r w:rsidRPr="00061F6E">
        <w:rPr>
          <w:sz w:val="16"/>
        </w:rPr>
        <w:t xml:space="preserve">. </w:t>
      </w:r>
      <w:r w:rsidRPr="00B277B7">
        <w:rPr>
          <w:rStyle w:val="StyleUnderline"/>
          <w:highlight w:val="cyan"/>
        </w:rPr>
        <w:t>The consequences of taking</w:t>
      </w:r>
      <w:r w:rsidRPr="00D801D8">
        <w:rPr>
          <w:rStyle w:val="StyleUnderline"/>
        </w:rPr>
        <w:t xml:space="preserve"> into </w:t>
      </w:r>
      <w:r w:rsidRPr="00B277B7">
        <w:rPr>
          <w:rStyle w:val="StyleUnderline"/>
          <w:highlight w:val="cyan"/>
        </w:rPr>
        <w:t>oneself negative subjectivities</w:t>
      </w:r>
      <w:r w:rsidRPr="00D801D8">
        <w:rPr>
          <w:rStyle w:val="StyleUnderline"/>
        </w:rPr>
        <w:t xml:space="preserve"> not only regulate and </w:t>
      </w:r>
      <w:r w:rsidRPr="00B277B7">
        <w:rPr>
          <w:rStyle w:val="StyleUnderline"/>
          <w:highlight w:val="cyan"/>
        </w:rPr>
        <w:t>continually form identity</w:t>
      </w:r>
      <w:r w:rsidRPr="00D801D8">
        <w:rPr>
          <w:rStyle w:val="StyleUnderline"/>
        </w:rPr>
        <w:t xml:space="preserve"> (the disabled citizen) </w:t>
      </w:r>
      <w:r w:rsidRPr="00B277B7">
        <w:rPr>
          <w:rStyle w:val="StyleUnderline"/>
          <w:highlight w:val="cyan"/>
        </w:rPr>
        <w:t>but can transcend and surpass the strictures of ableist authorizations</w:t>
      </w:r>
      <w:r w:rsidRPr="00061F6E">
        <w:rPr>
          <w:sz w:val="16"/>
        </w:rPr>
        <w:t xml:space="preserve">. Judith Butler describes this process of the "carrying of a mnemic trace": </w:t>
      </w:r>
      <w:r w:rsidRPr="00D801D8">
        <w:rPr>
          <w:rStyle w:val="Emphasis"/>
        </w:rPr>
        <w:t xml:space="preserve">One need only consider the way in which the history of having been called an injurious name is embodied, </w:t>
      </w:r>
      <w:r w:rsidRPr="00B277B7">
        <w:rPr>
          <w:rStyle w:val="Emphasis"/>
          <w:highlight w:val="cyan"/>
        </w:rPr>
        <w:t>how the words enter the limbs, craft the gesture</w:t>
      </w:r>
      <w:r w:rsidRPr="00D801D8">
        <w:rPr>
          <w:rStyle w:val="Emphasis"/>
        </w:rPr>
        <w:t xml:space="preserve">, bend the spine …how these slurs accumulate over time, dissimulating their history, taking on the semblance of the natural, configuring and </w:t>
      </w:r>
      <w:r w:rsidRPr="00B277B7">
        <w:rPr>
          <w:rStyle w:val="Emphasis"/>
          <w:highlight w:val="cyan"/>
        </w:rPr>
        <w:t>restricting the doxa that counts as "reality</w:t>
      </w:r>
      <w:r w:rsidRPr="00D801D8">
        <w:rPr>
          <w:rStyle w:val="Emphasis"/>
        </w:rPr>
        <w:t>".</w:t>
      </w:r>
      <w:r w:rsidRPr="00061F6E">
        <w:rPr>
          <w:sz w:val="16"/>
        </w:rPr>
        <w:t xml:space="preserve"> (Butler, 1997b, p. 159) The work of Williams and Williams-Morris (2000) links racism experienced by African 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to separate my existences from the existence of my disability. (Purdy, 1996, p. 68). The problem with Purdy's conclusion is that it is psychically untenable, not only because it is posited around a type of Cartesian dualism that simply separates being-ness from embodiment, but also because this kind of reasoning disregards the dynamics of subjectivity formation to which Butler (1997a; 1997b) has referred. Whilst </w:t>
      </w:r>
      <w:r w:rsidRPr="00B277B7">
        <w:rPr>
          <w:rStyle w:val="StyleUnderline"/>
          <w:highlight w:val="cyan"/>
        </w:rPr>
        <w:t>the 'outputs' of subjectivity are variable the experience of impairment within an ableist context can and does effect formation of self</w:t>
      </w:r>
      <w:r w:rsidRPr="00061F6E">
        <w:rPr>
          <w:sz w:val="16"/>
        </w:rPr>
        <w:t xml:space="preserve"> – in other words </w:t>
      </w:r>
      <w:r w:rsidRPr="00B277B7">
        <w:rPr>
          <w:rStyle w:val="StyleUnderline"/>
          <w:highlight w:val="cyan"/>
        </w:rPr>
        <w:t>'disability is me</w:t>
      </w:r>
      <w:r w:rsidRPr="00061F6E">
        <w:rPr>
          <w:sz w:val="16"/>
        </w:rPr>
        <w:t xml:space="preserve">', but that 'me' does not need to be enfleshed with negative ontologies of subjectivity. Purdy's bodily ~fleshly~ detachment appears locked into a loop that is filled with internalised ableism, </w:t>
      </w:r>
      <w:r w:rsidRPr="00D801D8">
        <w:rPr>
          <w:rStyle w:val="StyleUnderline"/>
        </w:rPr>
        <w:t>a state with negative views of impairment, from which the only escape is disembodiment</w:t>
      </w:r>
      <w:r w:rsidRPr="00061F6E">
        <w:rPr>
          <w:sz w:val="16"/>
        </w:rPr>
        <w:t>; the penalty of denial is a flight 12 from her ~flesh~ body. This finds agreement in the reasoning of Jean Baudrillard (1983) who posits that it is the simulation, the appearance (representation) that matters. The subject simulates what it is to be 'disabled' and by inference 'abled' and whilst morphing ableist imperatives, in effect performs a new hyper reality of be-ing disabled. By unwittingly performing ableism disabled people become complicit in their own demise – reinforcing impairment as an outlaw ontology.</w:t>
      </w:r>
    </w:p>
    <w:p w:rsidR="004F4D2A" w:rsidRPr="00781A7D" w:rsidRDefault="004F4D2A" w:rsidP="004F4D2A">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If we win a 1% risk that the affirmative is anti-crip </w:t>
      </w:r>
    </w:p>
    <w:p w:rsidR="004F4D2A" w:rsidRPr="00E10DAE" w:rsidRDefault="004F4D2A" w:rsidP="004F4D2A">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4F4D2A" w:rsidRPr="00F418B6" w:rsidRDefault="004F4D2A" w:rsidP="004F4D2A">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B277B7">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B277B7">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B277B7">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B277B7">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473CEF" w:rsidRPr="00D31913" w:rsidRDefault="00473CEF" w:rsidP="00473CEF">
      <w:pPr>
        <w:pStyle w:val="Heading4"/>
      </w:pPr>
      <w:r>
        <w:t>The world is governed by the disability drive – Disability drives</w:t>
      </w:r>
      <w:r w:rsidRPr="00D31913">
        <w:t xml:space="preserve">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473CEF" w:rsidRPr="007877F6" w:rsidRDefault="00473CEF" w:rsidP="00473CEF">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473CEF" w:rsidRDefault="00473CEF" w:rsidP="00473CEF">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B277B7">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B277B7">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B277B7">
        <w:rPr>
          <w:rStyle w:val="StyleUnderline"/>
          <w:highlight w:val="cyan"/>
        </w:rPr>
        <w:t>because it involves a drive toward disability</w:t>
      </w:r>
      <w:r w:rsidRPr="00C31DBD">
        <w:rPr>
          <w:rStyle w:val="StyleUnderline"/>
        </w:rPr>
        <w:t xml:space="preserve"> (one cannot bear not to look), </w:t>
      </w:r>
      <w:r w:rsidRPr="00B277B7">
        <w:rPr>
          <w:rStyle w:val="Emphasis"/>
          <w:highlight w:val="cyan"/>
        </w:rPr>
        <w:t>which menaces the ego‟s investments in health</w:t>
      </w:r>
      <w:r w:rsidRPr="00B277B7">
        <w:rPr>
          <w:rStyle w:val="StyleUnderline"/>
          <w:highlight w:val="cyan"/>
        </w:rPr>
        <w:t>, pleasure, and control</w:t>
      </w:r>
      <w:r w:rsidRPr="00C31DBD">
        <w:rPr>
          <w:rStyle w:val="StyleUnderline"/>
        </w:rPr>
        <w:t xml:space="preserve">—because </w:t>
      </w:r>
      <w:r w:rsidRPr="00B277B7">
        <w:rPr>
          <w:rStyle w:val="StyleUnderline"/>
          <w:highlight w:val="cyan"/>
        </w:rPr>
        <w:t xml:space="preserve">to contemplate another person‟s suffering is to confront the question, </w:t>
      </w:r>
      <w:r w:rsidRPr="00B277B7">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B277B7">
        <w:rPr>
          <w:rStyle w:val="StyleUnderline"/>
          <w:highlight w:val="cyan"/>
        </w:rPr>
        <w:t>Secondary pity attempts to heal</w:t>
      </w:r>
      <w:r w:rsidRPr="00C31DBD">
        <w:rPr>
          <w:rStyle w:val="StyleUnderline"/>
        </w:rPr>
        <w:t xml:space="preserve"> </w:t>
      </w:r>
      <w:r w:rsidRPr="00B277B7">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B277B7">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B277B7">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B277B7">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B277B7">
        <w:rPr>
          <w:sz w:val="16"/>
          <w:highlight w:val="cyan"/>
        </w:rPr>
        <w:t xml:space="preserve">: </w:t>
      </w:r>
      <w:r w:rsidRPr="00B277B7">
        <w:rPr>
          <w:rStyle w:val="StyleUnderline"/>
          <w:highlight w:val="cyan"/>
        </w:rPr>
        <w:t>these affects enlarge the ego of the pitier</w:t>
      </w:r>
      <w:r w:rsidRPr="00C31DBD">
        <w:rPr>
          <w:rStyle w:val="StyleUnderline"/>
        </w:rPr>
        <w:t xml:space="preserve"> or the narcissist </w:t>
      </w:r>
      <w:r w:rsidRPr="00B277B7">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B277B7">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B277B7">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B277B7">
        <w:rPr>
          <w:rStyle w:val="Emphasis"/>
          <w:highlight w:val="cyan"/>
        </w:rPr>
        <w:t>primary pity is so unsettling that our culture has been driven to “mercifully” kill people in the name of secondary pity.</w:t>
      </w:r>
      <w:r w:rsidRPr="00B277B7">
        <w:rPr>
          <w:sz w:val="16"/>
          <w:highlight w:val="cyan"/>
          <w:u w:val="single"/>
        </w:rPr>
        <w:t xml:space="preserve"> </w:t>
      </w:r>
      <w:r w:rsidRPr="00FA497D">
        <w:rPr>
          <w:sz w:val="24"/>
          <w:u w:val="single"/>
        </w:rPr>
        <w:t xml:space="preserve">We have also been driven </w:t>
      </w:r>
      <w:r w:rsidRPr="00FA497D">
        <w:rPr>
          <w:rStyle w:val="StyleUnderline"/>
          <w:sz w:val="24"/>
        </w:rPr>
        <w:t>to lock people in institutions</w:t>
      </w:r>
      <w:r w:rsidRPr="00FA497D">
        <w:rPr>
          <w:sz w:val="24"/>
          <w:u w:val="single"/>
        </w:rPr>
        <w:t xml:space="preserve">, to let them languish on the streets, to stare, to punish, and to sentimentalize—all, I would suggest, in the interest of not owning, not naming, not acknowledging that self-shattering, ego-dissolving, instantaneous and intolerable 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E8248D" w:rsidRPr="00D31913" w:rsidRDefault="00E8248D" w:rsidP="00E8248D">
      <w:pPr>
        <w:pStyle w:val="Heading4"/>
      </w:pPr>
      <w:r>
        <w:t>S</w:t>
      </w:r>
      <w:r w:rsidRPr="00D31913">
        <w:t xml:space="preserve">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E8248D" w:rsidRDefault="00E8248D" w:rsidP="00E8248D">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p>
    <w:p w:rsidR="00E8248D" w:rsidRDefault="00E8248D" w:rsidP="00E8248D">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EA7EB5" w:rsidRPr="00625851" w:rsidRDefault="00EA7EB5" w:rsidP="00E8248D">
      <w:pPr>
        <w:rPr>
          <w:sz w:val="16"/>
          <w:szCs w:val="22"/>
        </w:rPr>
      </w:pPr>
      <w:r>
        <w:rPr>
          <w:sz w:val="16"/>
          <w:szCs w:val="22"/>
        </w:rPr>
        <w:t xml:space="preserve">Government action </w:t>
      </w:r>
    </w:p>
    <w:p w:rsidR="004F4D2A" w:rsidRPr="00812D2C" w:rsidRDefault="004F4D2A" w:rsidP="004F4D2A">
      <w:pPr>
        <w:pStyle w:val="Heading4"/>
      </w:pPr>
      <w:r>
        <w:t xml:space="preserve">Vote negative to affirm the heuristic of the crip child that fails to cure – to affirm the idea that disability is something that is beautiful which is in opposition to the current biopolitical portrayal of the disgusting crip child. The 1ACs attempt at </w:t>
      </w:r>
      <w:r w:rsidR="00473CEF">
        <w:t>rage</w:t>
      </w:r>
      <w:r>
        <w:t xml:space="preserve"> within society will only lead to spotlighting – pessimism and failure is the only way to solve. </w:t>
      </w:r>
    </w:p>
    <w:p w:rsidR="004F4D2A" w:rsidRPr="00812D2C" w:rsidRDefault="004F4D2A" w:rsidP="004F4D2A">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4F4D2A" w:rsidRPr="001F7E99" w:rsidRDefault="004F4D2A" w:rsidP="004F4D2A">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B277B7">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B277B7">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B277B7">
        <w:rPr>
          <w:rStyle w:val="StyleUnderline"/>
          <w:highlight w:val="cyan"/>
        </w:rPr>
        <w:t>In a world that makes claims to integrity</w:t>
      </w:r>
      <w:r w:rsidRPr="00F843A7">
        <w:rPr>
          <w:rStyle w:val="StyleUnderline"/>
        </w:rPr>
        <w:t xml:space="preserve"> using the argument </w:t>
      </w:r>
      <w:r w:rsidRPr="00B277B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B277B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B277B7">
        <w:rPr>
          <w:rStyle w:val="StyleUnderline"/>
          <w:highlight w:val="cyan"/>
        </w:rPr>
        <w:t>the utopian drive is a device for promise</w:t>
      </w:r>
      <w:r w:rsidRPr="00A00ED8">
        <w:rPr>
          <w:rStyle w:val="StyleUnderline"/>
        </w:rPr>
        <w:t xml:space="preserve"> (of curability), hence </w:t>
      </w:r>
      <w:r w:rsidRPr="00B277B7">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B277B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B277B7">
        <w:rPr>
          <w:rStyle w:val="StyleUnderline"/>
          <w:highlight w:val="cyan"/>
        </w:rPr>
        <w:t>in Western cultures</w:t>
      </w:r>
      <w:r w:rsidRPr="00257480">
        <w:rPr>
          <w:rStyle w:val="StyleUnderline"/>
        </w:rPr>
        <w:t xml:space="preserve">, </w:t>
      </w:r>
      <w:r w:rsidRPr="00B277B7">
        <w:rPr>
          <w:rStyle w:val="StyleUnderline"/>
          <w:highlight w:val="cyan"/>
        </w:rPr>
        <w:t>we chart the emergence</w:t>
      </w:r>
      <w:r w:rsidRPr="00257480">
        <w:rPr>
          <w:rStyle w:val="StyleUnderline"/>
        </w:rPr>
        <w:t xml:space="preserve"> of the adult </w:t>
      </w:r>
      <w:r w:rsidRPr="00B277B7">
        <w:rPr>
          <w:rStyle w:val="StyleUnderline"/>
          <w:highlight w:val="cyan"/>
        </w:rPr>
        <w:t>from the</w:t>
      </w:r>
      <w:r w:rsidRPr="00257480">
        <w:rPr>
          <w:rStyle w:val="StyleUnderline"/>
        </w:rPr>
        <w:t xml:space="preserve"> dangerous and </w:t>
      </w:r>
      <w:r w:rsidRPr="00B277B7">
        <w:rPr>
          <w:rStyle w:val="StyleUnderline"/>
          <w:highlight w:val="cyan"/>
        </w:rPr>
        <w:t>unruly period of adolescence as a desired process</w:t>
      </w:r>
      <w:r w:rsidRPr="00257480">
        <w:rPr>
          <w:rStyle w:val="StyleUnderline"/>
        </w:rPr>
        <w:t xml:space="preserve"> of maturation; and we create longevity as the most desirable future, </w:t>
      </w:r>
      <w:r w:rsidRPr="00B277B7">
        <w:rPr>
          <w:rStyle w:val="StyleUnderline"/>
          <w:highlight w:val="cyan"/>
        </w:rPr>
        <w:t>applaud the pursuit of long life</w:t>
      </w:r>
      <w:r w:rsidRPr="00257480">
        <w:rPr>
          <w:rStyle w:val="StyleUnderline"/>
        </w:rPr>
        <w:t xml:space="preserve"> (under any circumstances), </w:t>
      </w:r>
      <w:r w:rsidRPr="00B277B7">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B277B7">
        <w:rPr>
          <w:rStyle w:val="StyleUnderline"/>
          <w:highlight w:val="cyan"/>
        </w:rPr>
        <w:t>people who live in rapid bursts</w:t>
      </w:r>
      <w:r w:rsidRPr="00257480">
        <w:rPr>
          <w:rStyle w:val="StyleUnderline"/>
        </w:rPr>
        <w:t xml:space="preserve"> (drug addicts, for example</w:t>
      </w:r>
      <w:r w:rsidRPr="00B277B7">
        <w:rPr>
          <w:rStyle w:val="StyleUnderline"/>
          <w:highlight w:val="cyan"/>
        </w:rPr>
        <w:t xml:space="preserve">) are characterized as </w:t>
      </w:r>
      <w:r w:rsidRPr="00164840">
        <w:rPr>
          <w:rStyle w:val="StyleUnderline"/>
        </w:rPr>
        <w:t xml:space="preserve">immature and even </w:t>
      </w:r>
      <w:r w:rsidRPr="00B277B7">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B277B7">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B277B7">
        <w:rPr>
          <w:rStyle w:val="StyleUnderline"/>
          <w:highlight w:val="cyan"/>
        </w:rPr>
        <w:t>to come out from normative shadows and fess up to futurist ‘inability’</w:t>
      </w:r>
      <w:r w:rsidRPr="001F7E99">
        <w:rPr>
          <w:sz w:val="16"/>
        </w:rPr>
        <w:t xml:space="preserve">: </w:t>
      </w:r>
      <w:r w:rsidRPr="00B277B7">
        <w:rPr>
          <w:rStyle w:val="Emphasis"/>
          <w:highlight w:val="cyan"/>
        </w:rPr>
        <w:t xml:space="preserve">‘instead of fighting this characterization by dragging queerness into recognition, </w:t>
      </w:r>
      <w:r w:rsidRPr="005774C6">
        <w:rPr>
          <w:rStyle w:val="Emphasis"/>
        </w:rPr>
        <w:t>he proposes that</w:t>
      </w:r>
      <w:r w:rsidRPr="00B277B7">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4F4D2A" w:rsidRDefault="004F4D2A" w:rsidP="004F4D2A">
      <w:pPr>
        <w:pStyle w:val="Heading2"/>
      </w:pPr>
      <w:r>
        <w:t>Case</w:t>
      </w:r>
    </w:p>
    <w:p w:rsidR="00EA7EB5" w:rsidRDefault="00EA7EB5" w:rsidP="00EA7EB5">
      <w:pPr>
        <w:pStyle w:val="Heading4"/>
      </w:pPr>
      <w:r w:rsidRPr="005D0525">
        <w:t>Rage is a dangerous method for black disabled people whose rage is over-coded and read as insane danger. The 1AC’s analysis doesn’t take into account the black disabled people unique experience. Homoginization results in violence against them.</w:t>
      </w:r>
    </w:p>
    <w:p w:rsidR="00EA7EB5" w:rsidRDefault="00EA7EB5" w:rsidP="00EA7EB5">
      <w:r w:rsidRPr="005D0525">
        <w:rPr>
          <w:rStyle w:val="Style13ptBold"/>
        </w:rPr>
        <w:t>EREVELLES and MINEAR 10</w:t>
      </w:r>
      <w:r w:rsidRPr="005D0525">
        <w:t>(NIRMALA and AndreaProfessor in the Social Foundations of Education and Instructional Department of Education Leadership, Policy, and Technology Studies at the University of Alabama, Assistant Professor of Elementary Education Department of Curriculum and Instruction UAB “Unspeakable Offenses: Untangling Race and Disability in Discourses of Intersectionality Chapter 26” The Disability Studies Reader Fourth Edition</w:t>
      </w:r>
    </w:p>
    <w:p w:rsidR="00EA7EB5" w:rsidRPr="00F601E6" w:rsidRDefault="00EA7EB5" w:rsidP="00EA7EB5">
      <w:r>
        <w:t xml:space="preserve">On October 29, 1984, </w:t>
      </w:r>
      <w:r w:rsidRPr="005D0525">
        <w:rPr>
          <w:rStyle w:val="StyleUnderline"/>
          <w:highlight w:val="cyan"/>
        </w:rPr>
        <w:t>Eleanor Bumpurs</w:t>
      </w:r>
      <w:r w:rsidRPr="005D0525">
        <w:rPr>
          <w:rStyle w:val="StyleUnderline"/>
        </w:rPr>
        <w:t xml:space="preserve">, a 270 pound, arthritic, sixty-seven year old woman </w:t>
      </w:r>
      <w:r w:rsidRPr="005D0525">
        <w:rPr>
          <w:rStyle w:val="StyleUnderline"/>
          <w:highlight w:val="cyan"/>
        </w:rPr>
        <w:t>was shot to death while resisting eviction from her apartment in</w:t>
      </w:r>
      <w:r w:rsidRPr="005D0525">
        <w:rPr>
          <w:rStyle w:val="StyleUnderline"/>
        </w:rPr>
        <w:t xml:space="preserve"> the </w:t>
      </w:r>
      <w:r w:rsidRPr="005D0525">
        <w:rPr>
          <w:rStyle w:val="StyleUnderline"/>
          <w:highlight w:val="cyan"/>
        </w:rPr>
        <w:t>Bronx</w:t>
      </w:r>
      <w:r w:rsidRPr="005D0525">
        <w:rPr>
          <w:rStyle w:val="StyleUnderline"/>
        </w:rPr>
        <w:t>.</w:t>
      </w:r>
      <w:r>
        <w:t xml:space="preserve"> She was $98.85, or one month, behind in her rent. New York City mayor Ed Koch and police commissioner Benjamin Ward described the struggle preceding her demise as involving two officers with plastic shields, one officer with a restraining hook, another officer with a shotgun, and at least one supervising officer. All the officers also carried service revolvers. According to Commissioner Ward, during the course of the attempted eviction </w:t>
      </w:r>
      <w:r w:rsidRPr="005D0525">
        <w:rPr>
          <w:rStyle w:val="StyleUnderline"/>
        </w:rPr>
        <w:t xml:space="preserve">Eleanor </w:t>
      </w:r>
      <w:r w:rsidRPr="005D0525">
        <w:rPr>
          <w:rStyle w:val="StyleUnderline"/>
          <w:highlight w:val="cyan"/>
        </w:rPr>
        <w:t>Bumpurs</w:t>
      </w:r>
      <w:r w:rsidRPr="005D0525">
        <w:rPr>
          <w:rStyle w:val="StyleUnderline"/>
        </w:rPr>
        <w:t xml:space="preserve"> escaped from the restraining hook twice and </w:t>
      </w:r>
      <w:r w:rsidRPr="005D0525">
        <w:rPr>
          <w:rStyle w:val="StyleUnderline"/>
          <w:highlight w:val="cyan"/>
        </w:rPr>
        <w:t>wielded a knife that</w:t>
      </w:r>
      <w:r w:rsidRPr="005D0525">
        <w:rPr>
          <w:rStyle w:val="StyleUnderline"/>
        </w:rPr>
        <w:t xml:space="preserve"> Commissioner Ward said </w:t>
      </w:r>
      <w:r w:rsidRPr="005D0525">
        <w:rPr>
          <w:rStyle w:val="StyleUnderline"/>
          <w:highlight w:val="cyan"/>
        </w:rPr>
        <w:t>was “bent” on one of the plastic shields</w:t>
      </w:r>
      <w:r w:rsidRPr="005D0525">
        <w:rPr>
          <w:rStyle w:val="StyleUnderline"/>
        </w:rPr>
        <w:t>. At some point, Officer Stephen Sullivan, the officer positioned furthest away from her aimed and fired his shotgun</w:t>
      </w:r>
      <w:r>
        <w:t xml:space="preserve">. It is alleged that the blast removed half of her hand so that, according to the Bronx district attorney’s office, “it was anatomically impossible for her to hold the knife.” The officer pumped his gun and shot again, making his mark completely the second time around. (Williams 271) In her essay, “Spirit Murdering the Messenger,” Critical Race Feminist (CRF) </w:t>
      </w:r>
      <w:r w:rsidRPr="005D0525">
        <w:rPr>
          <w:rStyle w:val="StyleUnderline"/>
        </w:rPr>
        <w:t xml:space="preserve">Patricia </w:t>
      </w:r>
      <w:r w:rsidRPr="005D0525">
        <w:rPr>
          <w:rStyle w:val="StyleUnderline"/>
          <w:highlight w:val="cyan"/>
        </w:rPr>
        <w:t>Williams describes the</w:t>
      </w:r>
      <w:r w:rsidRPr="005D0525">
        <w:rPr>
          <w:rStyle w:val="StyleUnderline"/>
        </w:rPr>
        <w:t xml:space="preserve"> brutal </w:t>
      </w:r>
      <w:r w:rsidRPr="005D0525">
        <w:rPr>
          <w:rStyle w:val="StyleUnderline"/>
          <w:highlight w:val="cyan"/>
        </w:rPr>
        <w:t>murder of a</w:t>
      </w:r>
      <w:r w:rsidRPr="005D0525">
        <w:rPr>
          <w:rStyle w:val="StyleUnderline"/>
        </w:rPr>
        <w:t xml:space="preserve"> poor, elderly, overweight, </w:t>
      </w:r>
      <w:r w:rsidRPr="005D0525">
        <w:rPr>
          <w:rStyle w:val="StyleUnderline"/>
          <w:highlight w:val="cyan"/>
        </w:rPr>
        <w:t>disabled, black woman</w:t>
      </w:r>
      <w:r w:rsidRPr="005D0525">
        <w:rPr>
          <w:rStyle w:val="StyleUnderline"/>
        </w:rPr>
        <w:t xml:space="preserve"> by several heavily armed police officers. Trapped at the intersections of multiple oppressive contexts, Eleanor Bumpurs’s tattered body was quite literally torn apart by her multiple selves—being raced, classed, gendered, and disabled.</w:t>
      </w:r>
      <w:r>
        <w:t xml:space="preserve"> In the essay, Williams reads this murder as an unambiguous example of “racism [experienced] as . . . an offense so painful and assaultive as to constitute . . . ‘spirit murder’” (230). </w:t>
      </w:r>
      <w:r w:rsidRPr="005D0525">
        <w:rPr>
          <w:rStyle w:val="StyleUnderline"/>
          <w:highlight w:val="cyan"/>
        </w:rPr>
        <w:t>Toward the end of the essay Williams struggles to fathom why the officer who fired the fatal shots saw</w:t>
      </w:r>
      <w:r w:rsidRPr="005D0525">
        <w:rPr>
          <w:rStyle w:val="StyleUnderline"/>
        </w:rPr>
        <w:t xml:space="preserve"> such </w:t>
      </w:r>
      <w:r w:rsidRPr="005D0525">
        <w:rPr>
          <w:rStyle w:val="StyleUnderline"/>
          <w:highlight w:val="cyan"/>
        </w:rPr>
        <w:t>an “‘immediate threat and endangerment to life’</w:t>
      </w:r>
      <w:r w:rsidRPr="005D0525">
        <w:rPr>
          <w:rStyle w:val="StyleUnderline"/>
        </w:rPr>
        <w:t xml:space="preserve"> . . . . [that he] </w:t>
      </w:r>
      <w:r w:rsidRPr="005D0525">
        <w:rPr>
          <w:rStyle w:val="StyleUnderline"/>
          <w:highlight w:val="cyan"/>
        </w:rPr>
        <w:t>could not allay his need to kill a sick old lady fighting off hallucinations with a knife</w:t>
      </w:r>
      <w:r w:rsidRPr="005D0525">
        <w:rPr>
          <w:rStyle w:val="StyleUnderline"/>
        </w:rPr>
        <w:t>” (234).</w:t>
      </w:r>
      <w:r>
        <w:t xml:space="preserve"> In this quote, Williams recognizes Eleanor Bumpurs’s disability when invoking her arthritis and possible mental illness. However, Williams deploys disability merely as a descriptor, a difference that is a matter of “magnitude” or “context,” what another CRF scholar, Angela Harris, has described as “nuance theory” (14). According to Harris, “nuance theory constitutes black women’s oppression as only an intensified example of (white) women’s oppression” and is therefore used as the “ultimate example of how bad things [really] are” for all women (15). While we agree with the critique of nuance theory in feminist analyses that ignore the real experiences of black women, we argue that CRF scholars deploy a similar analytical tactic through their unconscious non-analysis of disability as it intersects with race, class, and gender oppression. Disability, like race, offers not just a “nuance” to any analysis of difference. For example, one could argue that the outrage emanating from a heaving, black body wielding a knife sent a nervous (and racist) police officer into panic when confronted by his own racialized terror of otherness. But what about the other ideological terrors that loomed large in this encounter? Could the perception of Eleanor Bumpurs as a dangerous, obese, irrational, black woman also have contributed to her construction as criminally “insane” (disability) because her reaction to a “mere” legal matter of eviction (class) was murderous rage? And did our socially sanctioned fears of the mentally ill and our social devaluation of disabled (arthritic and elderly) bodies of color justify the volley of shots fired almost instinctively to protect the public from the deviant, the dangerous, and the disposable? We, therefore, argue that in the violent annihilation of Eleanor Bumpurs’s being, disability as it intersects with race, class, and gender served more than just a “context” or “magnifier” to analyze the oppressive conditions that caused this murder.</w:t>
      </w:r>
    </w:p>
    <w:p w:rsidR="00027381" w:rsidRPr="009B4A79" w:rsidRDefault="00027381" w:rsidP="00027381">
      <w:pPr>
        <w:keepNext/>
        <w:keepLines/>
        <w:spacing w:before="40" w:after="0"/>
        <w:outlineLvl w:val="3"/>
        <w:rPr>
          <w:rFonts w:eastAsia="SimSun" w:cs="Times New Roman"/>
          <w:b/>
          <w:iCs/>
          <w:sz w:val="26"/>
        </w:rPr>
      </w:pPr>
      <w:bookmarkStart w:id="0" w:name="_GoBack"/>
      <w:bookmarkEnd w:id="0"/>
      <w:r w:rsidRPr="009B4A79">
        <w:rPr>
          <w:rFonts w:eastAsia="SimSun" w:cs="Times New Roman"/>
          <w:b/>
          <w:iCs/>
          <w:sz w:val="26"/>
        </w:rPr>
        <w:t xml:space="preserve">Rage in academic spaces leads to essentialism and destroys coalitions </w:t>
      </w:r>
    </w:p>
    <w:p w:rsidR="00027381" w:rsidRPr="009B4A79" w:rsidRDefault="00027381" w:rsidP="00027381">
      <w:pPr>
        <w:rPr>
          <w:rFonts w:eastAsia="Calibri" w:cs="Times New Roman"/>
          <w:b/>
          <w:sz w:val="26"/>
        </w:rPr>
      </w:pPr>
      <w:r w:rsidRPr="009B4A79">
        <w:rPr>
          <w:rFonts w:eastAsia="Calibri" w:cs="Times New Roman"/>
          <w:b/>
          <w:bCs/>
          <w:sz w:val="26"/>
        </w:rPr>
        <w:t>Davis 92</w:t>
      </w:r>
    </w:p>
    <w:p w:rsidR="00027381" w:rsidRPr="009B4A79" w:rsidRDefault="00027381" w:rsidP="00027381">
      <w:pPr>
        <w:rPr>
          <w:rFonts w:eastAsia="Calibri" w:cs="Times New Roman"/>
        </w:rPr>
      </w:pPr>
      <w:r w:rsidRPr="009B4A79">
        <w:rPr>
          <w:rFonts w:eastAsia="Calibri" w:cs="Times New Roman"/>
        </w:rPr>
        <w:t>Nancy J. Davis, professor emerita of sociology at DePauw University, is co-author of Claiming Society for God: Religious Movements and Social Welfare, Teaching about Inequality: Student Resistance, Paralysis, and Rage, Teaching Sociology, Vol. 20, No. 3 (Jul., 1992), pp. 232-238</w:t>
      </w:r>
    </w:p>
    <w:p w:rsidR="00027381" w:rsidRPr="0032123F" w:rsidRDefault="00027381" w:rsidP="00027381">
      <w:pPr>
        <w:ind w:right="288"/>
        <w:rPr>
          <w:rFonts w:eastAsia="MS Mincho" w:cs="Times New Roman"/>
        </w:rPr>
      </w:pPr>
      <w:r w:rsidRPr="009B4A79">
        <w:rPr>
          <w:rFonts w:eastAsia="MS Mincho" w:cs="Times New Roman"/>
          <w:highlight w:val="cyan"/>
          <w:u w:val="single"/>
        </w:rPr>
        <w:t>Stratification courses make many students angry</w:t>
      </w:r>
      <w:r w:rsidRPr="009B4A79">
        <w:rPr>
          <w:rFonts w:eastAsia="MS Mincho" w:cs="Times New Roman"/>
          <w:u w:val="single"/>
        </w:rPr>
        <w:t>,</w:t>
      </w:r>
      <w:r w:rsidRPr="009B4A79">
        <w:rPr>
          <w:rFonts w:eastAsia="MS Mincho" w:cs="Times New Roman"/>
        </w:rPr>
        <w:t xml:space="preserve"> particularly </w:t>
      </w:r>
      <w:r w:rsidRPr="009B4A79">
        <w:rPr>
          <w:rFonts w:eastAsia="MS Mincho" w:cs="Times New Roman"/>
          <w:u w:val="single"/>
        </w:rPr>
        <w:t>those from disadvantaged origins</w:t>
      </w:r>
      <w:r w:rsidRPr="009B4A79">
        <w:rPr>
          <w:rFonts w:eastAsia="MS Mincho" w:cs="Times New Roman"/>
        </w:rPr>
        <w:t xml:space="preserve"> or groups. </w:t>
      </w:r>
      <w:r w:rsidRPr="009B4A79">
        <w:rPr>
          <w:rFonts w:eastAsia="MS Mincho" w:cs="Times New Roman"/>
          <w:highlight w:val="cyan"/>
          <w:u w:val="single"/>
        </w:rPr>
        <w:t xml:space="preserve">Topics like </w:t>
      </w:r>
      <w:r w:rsidRPr="007557C1">
        <w:rPr>
          <w:rFonts w:eastAsia="MS Mincho" w:cs="Times New Roman"/>
          <w:u w:val="single"/>
        </w:rPr>
        <w:t xml:space="preserve">racial </w:t>
      </w:r>
      <w:r w:rsidRPr="009B4A79">
        <w:rPr>
          <w:rFonts w:eastAsia="MS Mincho" w:cs="Times New Roman"/>
          <w:highlight w:val="cyan"/>
          <w:u w:val="single"/>
        </w:rPr>
        <w:t xml:space="preserve">harassment </w:t>
      </w:r>
      <w:r w:rsidRPr="009B4A79">
        <w:rPr>
          <w:rFonts w:eastAsia="MS Mincho" w:cs="Times New Roman"/>
          <w:u w:val="single"/>
        </w:rPr>
        <w:t>on college campuses</w:t>
      </w:r>
      <w:r w:rsidRPr="009B4A79">
        <w:rPr>
          <w:rFonts w:eastAsia="MS Mincho" w:cs="Times New Roman"/>
        </w:rPr>
        <w:t xml:space="preserve">, </w:t>
      </w:r>
      <w:r w:rsidRPr="009B4A79">
        <w:rPr>
          <w:rFonts w:eastAsia="MS Mincho" w:cs="Times New Roman"/>
          <w:u w:val="single"/>
        </w:rPr>
        <w:t>sexual violence against women</w:t>
      </w:r>
      <w:r w:rsidRPr="009B4A79">
        <w:rPr>
          <w:rFonts w:eastAsia="MS Mincho" w:cs="Times New Roman"/>
        </w:rPr>
        <w:t xml:space="preserve">, and cuts in funding for services for the poor </w:t>
      </w:r>
      <w:r w:rsidRPr="009B4A79">
        <w:rPr>
          <w:rFonts w:eastAsia="MS Mincho" w:cs="Times New Roman"/>
          <w:highlight w:val="cyan"/>
          <w:u w:val="single"/>
        </w:rPr>
        <w:t>spark feelings of injustice and outrage</w:t>
      </w:r>
      <w:r w:rsidRPr="009B4A79">
        <w:rPr>
          <w:rFonts w:eastAsia="MS Mincho" w:cs="Times New Roman"/>
          <w:u w:val="single"/>
        </w:rPr>
        <w:t xml:space="preserve">. For some students, the violent nature of hierarchical societies is not an abstraction. </w:t>
      </w:r>
      <w:r w:rsidRPr="009B4A79">
        <w:rPr>
          <w:rFonts w:eastAsia="MS Mincho" w:cs="Times New Roman"/>
        </w:rPr>
        <w:t xml:space="preserve">They have been brutalized personally by rape, racial har- assment, or gay-bashing. </w:t>
      </w:r>
      <w:r w:rsidRPr="009B4A79">
        <w:rPr>
          <w:rFonts w:eastAsia="MS Mincho" w:cs="Times New Roman"/>
          <w:u w:val="single"/>
        </w:rPr>
        <w:t>Frequently their anger is not focused but rather is directed at the nearest representative of an advantaged group: a male student in a mostly female course on gender</w:t>
      </w:r>
      <w:r w:rsidRPr="009B4A79">
        <w:rPr>
          <w:rFonts w:eastAsia="MS Mincho" w:cs="Times New Roman"/>
        </w:rPr>
        <w:t xml:space="preserve">, a white student in a course on race. This anger, which may approach rage, can be debili- tating and immobilizing. </w:t>
      </w:r>
      <w:r w:rsidRPr="009B4A79">
        <w:rPr>
          <w:rFonts w:eastAsia="MS Mincho" w:cs="Times New Roman"/>
          <w:u w:val="single"/>
        </w:rPr>
        <w:t xml:space="preserve">Moreover </w:t>
      </w:r>
      <w:r w:rsidRPr="009B4A79">
        <w:rPr>
          <w:rFonts w:eastAsia="MS Mincho" w:cs="Times New Roman"/>
          <w:highlight w:val="cyan"/>
          <w:u w:val="single"/>
        </w:rPr>
        <w:t xml:space="preserve">angry students often engage in reductionist thinking: everything wrong in the world is attributable </w:t>
      </w:r>
      <w:r w:rsidRPr="009B4A79">
        <w:rPr>
          <w:rFonts w:eastAsia="MS Mincho" w:cs="Times New Roman"/>
        </w:rPr>
        <w:t xml:space="preserve">patriarchy or </w:t>
      </w:r>
      <w:r w:rsidRPr="009B4A79">
        <w:rPr>
          <w:rFonts w:eastAsia="MS Mincho" w:cs="Times New Roman"/>
          <w:highlight w:val="cyan"/>
          <w:u w:val="single"/>
        </w:rPr>
        <w:t>white racism</w:t>
      </w:r>
      <w:r w:rsidRPr="009B4A79">
        <w:rPr>
          <w:rFonts w:eastAsia="MS Mincho" w:cs="Times New Roman"/>
        </w:rPr>
        <w:t xml:space="preserve"> or capitalist to hegem- ony. </w:t>
      </w:r>
      <w:r w:rsidRPr="009B4A79">
        <w:rPr>
          <w:rFonts w:eastAsia="MS Mincho" w:cs="Times New Roman"/>
          <w:u w:val="single"/>
        </w:rPr>
        <w:t xml:space="preserve">Men are reduced to a gender with no redeeming qualities and women regarded as blameless in the maintenance of gender-stratified societies. </w:t>
      </w:r>
      <w:r w:rsidRPr="009B4A79">
        <w:rPr>
          <w:rFonts w:eastAsia="MS Mincho" w:cs="Times New Roman"/>
          <w:strike/>
          <w:u w:val="single"/>
        </w:rPr>
        <w:t>A blindness</w:t>
      </w:r>
      <w:r w:rsidRPr="009B4A79">
        <w:rPr>
          <w:rFonts w:eastAsia="MS Mincho" w:cs="Times New Roman"/>
          <w:u w:val="single"/>
        </w:rPr>
        <w:t xml:space="preserve"> to the complexities of hierarchical societies</w:t>
      </w:r>
      <w:r w:rsidRPr="009B4A79">
        <w:rPr>
          <w:rFonts w:eastAsia="MS Mincho" w:cs="Times New Roman"/>
        </w:rPr>
        <w:t xml:space="preserve"> and to the multiple forms that stratification takes </w:t>
      </w:r>
      <w:r w:rsidRPr="009B4A79">
        <w:rPr>
          <w:rFonts w:eastAsia="MS Mincho" w:cs="Times New Roman"/>
          <w:u w:val="single"/>
        </w:rPr>
        <w:t xml:space="preserve">may result. </w:t>
      </w:r>
      <w:r w:rsidRPr="009B4A79">
        <w:rPr>
          <w:rFonts w:eastAsia="MS Mincho" w:cs="Times New Roman"/>
          <w:highlight w:val="cyan"/>
          <w:u w:val="single"/>
        </w:rPr>
        <w:t>A class with enraged students</w:t>
      </w:r>
      <w:r w:rsidRPr="009B4A79">
        <w:rPr>
          <w:rFonts w:eastAsia="MS Mincho" w:cs="Times New Roman"/>
        </w:rPr>
        <w:t xml:space="preserve">, or an en- raged instructor, </w:t>
      </w:r>
      <w:r w:rsidRPr="009B4A79">
        <w:rPr>
          <w:rFonts w:eastAsia="MS Mincho" w:cs="Times New Roman"/>
          <w:highlight w:val="cyan"/>
          <w:u w:val="single"/>
        </w:rPr>
        <w:t>is seldom a tolerant one that encourages a free and honest exchange of ideas</w:t>
      </w:r>
      <w:r w:rsidRPr="009B4A79">
        <w:rPr>
          <w:rFonts w:eastAsia="MS Mincho" w:cs="Times New Roman"/>
          <w:u w:val="single"/>
        </w:rPr>
        <w:t xml:space="preserve">. </w:t>
      </w:r>
      <w:r w:rsidRPr="009B4A79">
        <w:rPr>
          <w:rFonts w:eastAsia="MS Mincho" w:cs="Times New Roman"/>
          <w:highlight w:val="cyan"/>
          <w:u w:val="single"/>
        </w:rPr>
        <w:t>Other students</w:t>
      </w:r>
      <w:r w:rsidRPr="009B4A79">
        <w:rPr>
          <w:rFonts w:eastAsia="MS Mincho" w:cs="Times New Roman"/>
        </w:rPr>
        <w:t xml:space="preserve"> soon </w:t>
      </w:r>
      <w:r w:rsidRPr="009B4A79">
        <w:rPr>
          <w:rFonts w:eastAsia="MS Mincho" w:cs="Times New Roman"/>
          <w:highlight w:val="cyan"/>
          <w:u w:val="single"/>
        </w:rPr>
        <w:t>realize that there is a</w:t>
      </w:r>
      <w:r w:rsidRPr="009B4A79">
        <w:rPr>
          <w:rFonts w:eastAsia="MS Mincho" w:cs="Times New Roman"/>
        </w:rPr>
        <w:t xml:space="preserve"> politically correct </w:t>
      </w:r>
      <w:r w:rsidRPr="009B4A79">
        <w:rPr>
          <w:rFonts w:eastAsia="MS Mincho" w:cs="Times New Roman"/>
          <w:highlight w:val="cyan"/>
          <w:u w:val="single"/>
        </w:rPr>
        <w:t>line and either give lip service</w:t>
      </w:r>
      <w:r w:rsidRPr="009B4A79">
        <w:rPr>
          <w:rFonts w:eastAsia="MS Mincho" w:cs="Times New Roman"/>
        </w:rPr>
        <w:t xml:space="preserve"> to it </w:t>
      </w:r>
      <w:r w:rsidRPr="009B4A79">
        <w:rPr>
          <w:rFonts w:eastAsia="MS Mincho" w:cs="Times New Roman"/>
          <w:highlight w:val="cyan"/>
          <w:u w:val="single"/>
        </w:rPr>
        <w:t>or withdraw into resentful silence</w:t>
      </w:r>
      <w:r w:rsidRPr="009B4A79">
        <w:rPr>
          <w:rFonts w:eastAsia="MS Mincho" w:cs="Times New Roman"/>
          <w:u w:val="single"/>
        </w:rPr>
        <w:t>. They do not want to be accused of being</w:t>
      </w:r>
      <w:r w:rsidRPr="009B4A79">
        <w:rPr>
          <w:rFonts w:eastAsia="MS Mincho" w:cs="Times New Roman"/>
        </w:rPr>
        <w:t xml:space="preserve"> racist</w:t>
      </w:r>
      <w:r w:rsidRPr="009B4A79">
        <w:rPr>
          <w:rFonts w:eastAsia="MS Mincho" w:cs="Times New Roman"/>
          <w:u w:val="single"/>
        </w:rPr>
        <w:t>, sexist,</w:t>
      </w:r>
      <w:r w:rsidRPr="009B4A79">
        <w:rPr>
          <w:rFonts w:eastAsia="MS Mincho" w:cs="Times New Roman"/>
        </w:rPr>
        <w:t xml:space="preserve"> elitist, or homophobic. </w:t>
      </w:r>
      <w:r w:rsidRPr="009B4A79">
        <w:rPr>
          <w:rFonts w:eastAsia="MS Mincho" w:cs="Times New Roman"/>
          <w:highlight w:val="cyan"/>
          <w:u w:val="single"/>
        </w:rPr>
        <w:t>The class be- comes irretrievably divided into exploiters and the exploited</w:t>
      </w:r>
      <w:r w:rsidRPr="009B4A79">
        <w:rPr>
          <w:rFonts w:eastAsia="MS Mincho" w:cs="Times New Roman"/>
          <w:highlight w:val="cyan"/>
        </w:rPr>
        <w:t xml:space="preserve">, </w:t>
      </w:r>
      <w:r w:rsidRPr="009B4A79">
        <w:rPr>
          <w:rFonts w:eastAsia="MS Mincho" w:cs="Times New Roman"/>
          <w:highlight w:val="cyan"/>
          <w:u w:val="single"/>
        </w:rPr>
        <w:t>victimizers and victims</w:t>
      </w:r>
      <w:r w:rsidRPr="009B4A79">
        <w:rPr>
          <w:rFonts w:eastAsia="MS Mincho" w:cs="Times New Roman"/>
        </w:rPr>
        <w:t xml:space="preserve">. The an- gry class becomes the divided class, students who do not speak to each other. </w:t>
      </w:r>
    </w:p>
    <w:p w:rsidR="00E42E4C" w:rsidRPr="00F601E6" w:rsidRDefault="00E42E4C" w:rsidP="00D7024F"/>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F4D2A"/>
    <w:rsid w:val="000029E3"/>
    <w:rsid w:val="000029E8"/>
    <w:rsid w:val="00004225"/>
    <w:rsid w:val="000066CA"/>
    <w:rsid w:val="00007264"/>
    <w:rsid w:val="000076A9"/>
    <w:rsid w:val="00014FAD"/>
    <w:rsid w:val="00015D2A"/>
    <w:rsid w:val="0002490B"/>
    <w:rsid w:val="00026465"/>
    <w:rsid w:val="00027381"/>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4957"/>
    <w:rsid w:val="001B73E3"/>
    <w:rsid w:val="001C316D"/>
    <w:rsid w:val="001C5E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1B09"/>
    <w:rsid w:val="003A248F"/>
    <w:rsid w:val="003A4D9C"/>
    <w:rsid w:val="003B1668"/>
    <w:rsid w:val="003C5F4C"/>
    <w:rsid w:val="003D5EA8"/>
    <w:rsid w:val="003D7B28"/>
    <w:rsid w:val="003E305E"/>
    <w:rsid w:val="003E34DB"/>
    <w:rsid w:val="003E5302"/>
    <w:rsid w:val="003E5BF1"/>
    <w:rsid w:val="003F14BC"/>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3CEF"/>
    <w:rsid w:val="0047482C"/>
    <w:rsid w:val="00475436"/>
    <w:rsid w:val="0048047E"/>
    <w:rsid w:val="00482AF9"/>
    <w:rsid w:val="00496BB2"/>
    <w:rsid w:val="004A682F"/>
    <w:rsid w:val="004B37B4"/>
    <w:rsid w:val="004B44DF"/>
    <w:rsid w:val="004B72B4"/>
    <w:rsid w:val="004C0314"/>
    <w:rsid w:val="004C0D3D"/>
    <w:rsid w:val="004C213E"/>
    <w:rsid w:val="004C376C"/>
    <w:rsid w:val="004C657F"/>
    <w:rsid w:val="004D17D8"/>
    <w:rsid w:val="004D52D8"/>
    <w:rsid w:val="004E355B"/>
    <w:rsid w:val="004F1FD3"/>
    <w:rsid w:val="004F4D2A"/>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5475E"/>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0E9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024F"/>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248D"/>
    <w:rsid w:val="00E8322E"/>
    <w:rsid w:val="00E903E0"/>
    <w:rsid w:val="00EA1115"/>
    <w:rsid w:val="00EA39EB"/>
    <w:rsid w:val="00EA58CE"/>
    <w:rsid w:val="00EA7EB5"/>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4FCF9"/>
  <w14:defaultImageDpi w14:val="300"/>
  <w15:docId w15:val="{E2314F95-EFBB-9D4A-A16A-53B3955A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4B44D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B44D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B44D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B44D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4B44D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B44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44DF"/>
  </w:style>
  <w:style w:type="character" w:customStyle="1" w:styleId="Heading1Char">
    <w:name w:val="Heading 1 Char"/>
    <w:aliases w:val="Pocket Char"/>
    <w:basedOn w:val="DefaultParagraphFont"/>
    <w:link w:val="Heading1"/>
    <w:uiPriority w:val="9"/>
    <w:rsid w:val="004B44D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B44D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B44DF"/>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4B44DF"/>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4B44DF"/>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4B44DF"/>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4B44D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B44DF"/>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4B44DF"/>
    <w:rPr>
      <w:color w:val="auto"/>
      <w:u w:val="none"/>
    </w:rPr>
  </w:style>
  <w:style w:type="paragraph" w:styleId="DocumentMap">
    <w:name w:val="Document Map"/>
    <w:basedOn w:val="Normal"/>
    <w:link w:val="DocumentMapChar"/>
    <w:uiPriority w:val="99"/>
    <w:semiHidden/>
    <w:unhideWhenUsed/>
    <w:rsid w:val="004B44D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B44DF"/>
    <w:rPr>
      <w:rFonts w:ascii="Lucida Grande" w:hAnsi="Lucida Grande" w:cs="Lucida Grande"/>
    </w:rPr>
  </w:style>
  <w:style w:type="paragraph" w:customStyle="1" w:styleId="textbold">
    <w:name w:val="text bold"/>
    <w:basedOn w:val="Normal"/>
    <w:link w:val="Emphasis"/>
    <w:uiPriority w:val="20"/>
    <w:qFormat/>
    <w:rsid w:val="004F4D2A"/>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84A84B96-DAE2-6543-A517-C81B62B4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34</TotalTime>
  <Pages>1</Pages>
  <Words>8957</Words>
  <Characters>51056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59894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cp:revision>
  <dcterms:created xsi:type="dcterms:W3CDTF">2018-10-08T15:24:00Z</dcterms:created>
  <dcterms:modified xsi:type="dcterms:W3CDTF">2018-10-08T18:42:00Z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